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CF4C8A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CF4C8A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79.2pt;margin-top:22.8pt;width:329.25pt;height:80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" stroked="f">
            <v:textbox>
              <w:txbxContent>
                <w:p w:rsidR="00B63521" w:rsidRPr="00320F45" w:rsidRDefault="00FE4DE0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DIRECCIÓN DE ÁREA:      </w:t>
                  </w:r>
                  <w:r w:rsidRPr="004E5FB0"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  <w:lang w:eastAsia="es-MX"/>
                    </w:rPr>
                    <w:t>Desarrollo Social y Humano</w:t>
                  </w:r>
                  <w:r w:rsidR="00B63521" w:rsidRPr="004E5FB0"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  <w:lang w:eastAsia="es-MX"/>
                    </w:rPr>
                    <w:t xml:space="preserve">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FE4DE0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9D3B0F" w:rsidRPr="004E5FB0"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  <w:lang w:eastAsia="es-MX"/>
                    </w:rPr>
                    <w:t xml:space="preserve">Dir. </w:t>
                  </w:r>
                  <w:r w:rsidR="00DD735B" w:rsidRPr="004E5FB0"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  <w:lang w:eastAsia="es-MX"/>
                    </w:rPr>
                    <w:t xml:space="preserve">Oscar Alberto Olmedo </w:t>
                  </w:r>
                  <w:r w:rsidR="009D3B0F" w:rsidRPr="004E5FB0"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  <w:lang w:eastAsia="es-MX"/>
                    </w:rPr>
                    <w:t xml:space="preserve">Sánchez </w:t>
                  </w:r>
                </w:p>
                <w:p w:rsidR="00B63521" w:rsidRPr="004E5FB0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</w:t>
                  </w:r>
                  <w:r w:rsidRPr="004E5FB0"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  <w:lang w:eastAsia="es-MX"/>
                    </w:rPr>
                    <w:t xml:space="preserve">:   </w:t>
                  </w:r>
                  <w:r w:rsidR="00D82038"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  <w:lang w:eastAsia="es-MX"/>
                    </w:rPr>
                    <w:t>OCTUBRE-DICIEMBRE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CF4C8A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D74E39" w:rsidRPr="00832A3E" w:rsidRDefault="00832A3E" w:rsidP="00D74E3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52382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52382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52382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  <w:r w:rsidR="00B756BB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B756BB" w:rsidRPr="00B756BB">
        <w:rPr>
          <w:rFonts w:ascii="Arial" w:eastAsia="Times New Roman" w:hAnsi="Arial" w:cs="Arial"/>
          <w:color w:val="FF0000"/>
          <w:lang w:eastAsia="es-MX"/>
        </w:rPr>
        <w:t>Recrea</w:t>
      </w:r>
      <w:r w:rsidR="00D74E39">
        <w:rPr>
          <w:rFonts w:ascii="Arial" w:eastAsia="Times New Roman" w:hAnsi="Arial" w:cs="Arial"/>
          <w:color w:val="FF0000"/>
          <w:lang w:eastAsia="es-MX"/>
        </w:rPr>
        <w:t>, Pensión de Adultos Mayores apoyo logístico, Concluir dos programas estatales Jalisco te Re</w:t>
      </w:r>
      <w:r w:rsidR="00B756BB">
        <w:rPr>
          <w:rFonts w:ascii="Arial" w:eastAsia="Times New Roman" w:hAnsi="Arial" w:cs="Arial"/>
          <w:color w:val="FF0000"/>
          <w:lang w:eastAsia="es-MX"/>
        </w:rPr>
        <w:t>conoce, Jalisco Revive tu Hogar, además el vehiculo escolar sigue su trayecto de ruta 1 Apoyo a estudiantes Multimodal</w:t>
      </w:r>
    </w:p>
    <w:p w:rsidR="00036279" w:rsidRPr="00852382" w:rsidRDefault="00036279" w:rsidP="0003627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D74E39" w:rsidRPr="00D74E39" w:rsidRDefault="00832A3E" w:rsidP="00D74E3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FF0000"/>
          <w:lang w:eastAsia="es-MX"/>
        </w:rPr>
      </w:pPr>
      <w:r w:rsidRPr="00D74E39">
        <w:rPr>
          <w:rFonts w:ascii="Arial" w:eastAsia="Times New Roman" w:hAnsi="Arial" w:cs="Arial"/>
          <w:color w:val="000000"/>
          <w:lang w:eastAsia="es-MX"/>
        </w:rPr>
        <w:t>Resultados Trimestrales (Describir cuáles fueron</w:t>
      </w:r>
      <w:r w:rsidR="00EA2CC5" w:rsidRPr="00D74E39">
        <w:rPr>
          <w:rFonts w:ascii="Arial" w:eastAsia="Times New Roman" w:hAnsi="Arial" w:cs="Arial"/>
          <w:color w:val="000000"/>
          <w:lang w:eastAsia="es-MX"/>
        </w:rPr>
        <w:t xml:space="preserve"> los programas, proyectos, actividades y/o obras que se </w:t>
      </w:r>
      <w:r w:rsidR="00EA2CC5" w:rsidRPr="00D74E39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="00EA2CC5" w:rsidRPr="00D74E39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  <w:r w:rsidR="00EA2CC5" w:rsidRPr="00D74E39">
        <w:rPr>
          <w:rFonts w:ascii="Arial" w:eastAsia="Times New Roman" w:hAnsi="Arial" w:cs="Arial"/>
          <w:color w:val="FF0000"/>
          <w:lang w:eastAsia="es-MX"/>
        </w:rPr>
        <w:t xml:space="preserve"> </w:t>
      </w:r>
      <w:r w:rsidR="00D74E39">
        <w:rPr>
          <w:rFonts w:ascii="Arial" w:eastAsia="Times New Roman" w:hAnsi="Arial" w:cs="Arial"/>
          <w:color w:val="FF0000"/>
          <w:lang w:eastAsia="es-MX"/>
        </w:rPr>
        <w:t xml:space="preserve">Se </w:t>
      </w:r>
      <w:r w:rsidR="0069410C">
        <w:rPr>
          <w:rFonts w:ascii="Arial" w:eastAsia="Times New Roman" w:hAnsi="Arial" w:cs="Arial"/>
          <w:color w:val="FF0000"/>
          <w:lang w:eastAsia="es-MX"/>
        </w:rPr>
        <w:t>otorgó</w:t>
      </w:r>
      <w:r w:rsidR="00D74E39">
        <w:rPr>
          <w:rFonts w:ascii="Arial" w:eastAsia="Times New Roman" w:hAnsi="Arial" w:cs="Arial"/>
          <w:color w:val="FF0000"/>
          <w:lang w:eastAsia="es-MX"/>
        </w:rPr>
        <w:t xml:space="preserve"> la 2da etapa del programa </w:t>
      </w:r>
      <w:r w:rsidR="00D74E39" w:rsidRPr="00D74E39">
        <w:rPr>
          <w:rFonts w:ascii="Arial" w:eastAsia="Times New Roman" w:hAnsi="Arial" w:cs="Arial"/>
          <w:color w:val="FF0000"/>
          <w:lang w:eastAsia="es-MX"/>
        </w:rPr>
        <w:t>Recrea Programa de Mochilas con útiles y uniformes escolares así como calzado, Entrega en especie en el mes de diciembre del programa Jalisco Te Reconoce, Otorgamiento en especie Programa Jalisco Revive tu hogar, en diciembre 2019.</w:t>
      </w:r>
      <w:r w:rsidR="00D74E39">
        <w:rPr>
          <w:rFonts w:ascii="Arial" w:eastAsia="Times New Roman" w:hAnsi="Arial" w:cs="Arial"/>
          <w:color w:val="FF0000"/>
          <w:lang w:eastAsia="es-MX"/>
        </w:rPr>
        <w:t xml:space="preserve"> Pensión para adultos mayores concluyo el ejercicio 2019 con el pago correspondiente bimestral.</w:t>
      </w:r>
    </w:p>
    <w:p w:rsidR="0069410C" w:rsidRPr="0069410C" w:rsidRDefault="0069410C" w:rsidP="0069410C">
      <w:pPr>
        <w:pStyle w:val="Prrafodelista"/>
        <w:spacing w:after="0" w:line="360" w:lineRule="auto"/>
        <w:ind w:left="502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Pr="00832A3E" w:rsidRDefault="00832A3E" w:rsidP="00D74E3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45185D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45185D">
        <w:rPr>
          <w:rFonts w:ascii="Arial" w:eastAsia="Times New Roman" w:hAnsi="Arial" w:cs="Arial"/>
          <w:color w:val="FF0000"/>
          <w:lang w:eastAsia="es-MX"/>
        </w:rPr>
        <w:t>NO APLICA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2A15B2" w:rsidRDefault="00832A3E" w:rsidP="00D74E3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FF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DD735B">
        <w:rPr>
          <w:rFonts w:ascii="Arial" w:eastAsia="Times New Roman" w:hAnsi="Arial" w:cs="Arial"/>
          <w:color w:val="000000"/>
          <w:lang w:eastAsia="es-MX"/>
        </w:rPr>
        <w:t xml:space="preserve">. </w:t>
      </w:r>
      <w:r w:rsidR="0069410C" w:rsidRPr="0069410C">
        <w:rPr>
          <w:rFonts w:ascii="Arial" w:eastAsia="Times New Roman" w:hAnsi="Arial" w:cs="Arial"/>
          <w:color w:val="C00000"/>
          <w:lang w:eastAsia="es-MX"/>
        </w:rPr>
        <w:t>C</w:t>
      </w:r>
      <w:r w:rsidR="0069410C">
        <w:rPr>
          <w:rFonts w:ascii="Arial" w:eastAsia="Times New Roman" w:hAnsi="Arial" w:cs="Arial"/>
          <w:color w:val="FF0000"/>
          <w:lang w:eastAsia="es-MX"/>
        </w:rPr>
        <w:t xml:space="preserve">ubrir una parte de sus necesidades económicas apoyo en especie para vivienda, apoyo con personal especializado en salud para los adultos mayores. Asi mismo se otorgó un pqt. De alimentación y </w:t>
      </w:r>
      <w:r w:rsidR="008D00FF">
        <w:rPr>
          <w:rFonts w:ascii="Arial" w:eastAsia="Times New Roman" w:hAnsi="Arial" w:cs="Arial"/>
          <w:color w:val="FF0000"/>
          <w:lang w:eastAsia="es-MX"/>
        </w:rPr>
        <w:t>un kit de invierno para concluir el ejercicio 2019.</w:t>
      </w:r>
    </w:p>
    <w:p w:rsidR="002A15B2" w:rsidRPr="002A15B2" w:rsidRDefault="002A15B2" w:rsidP="002A15B2">
      <w:pPr>
        <w:pStyle w:val="Prrafodelista"/>
        <w:rPr>
          <w:rFonts w:ascii="Arial" w:eastAsia="Times New Roman" w:hAnsi="Arial" w:cs="Arial"/>
          <w:b/>
          <w:color w:val="FF0000"/>
          <w:lang w:eastAsia="es-MX"/>
        </w:rPr>
      </w:pPr>
    </w:p>
    <w:p w:rsidR="002A15B2" w:rsidRPr="002A15B2" w:rsidRDefault="002A15B2" w:rsidP="002A15B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FF0000"/>
          <w:lang w:eastAsia="es-MX"/>
        </w:rPr>
      </w:pPr>
      <w:r w:rsidRPr="002A15B2">
        <w:rPr>
          <w:rFonts w:ascii="Arial" w:eastAsia="Times New Roman" w:hAnsi="Arial" w:cs="Arial"/>
          <w:color w:val="000000"/>
          <w:lang w:eastAsia="es-MX"/>
        </w:rPr>
        <w:t xml:space="preserve">¿A qué estrategia de su POA pertenecen las acciones realizadas y a que Ejes del Plan Municipal de Desarrollo 2018-2021 se alinean? </w:t>
      </w:r>
      <w:r w:rsidRPr="002A15B2">
        <w:rPr>
          <w:rFonts w:ascii="Arial" w:eastAsia="Times New Roman" w:hAnsi="Arial" w:cs="Arial"/>
          <w:color w:val="FF0000"/>
          <w:lang w:eastAsia="es-MX"/>
        </w:rPr>
        <w:t>Estrategia 2, 4, y 5 eje Desarrollo Humano e inclusión/y sustentabilidad.</w:t>
      </w:r>
    </w:p>
    <w:p w:rsidR="00807BB5" w:rsidRPr="002A15B2" w:rsidRDefault="002A15B2" w:rsidP="002A15B2">
      <w:pPr>
        <w:spacing w:after="0" w:line="360" w:lineRule="auto"/>
        <w:ind w:left="142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6</w:t>
      </w:r>
      <w:bookmarkStart w:id="0" w:name="_GoBack"/>
      <w:bookmarkEnd w:id="0"/>
      <w:r w:rsidR="00807BB5" w:rsidRPr="002A15B2">
        <w:rPr>
          <w:rFonts w:ascii="Arial" w:eastAsia="Times New Roman" w:hAnsi="Arial" w:cs="Arial"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45185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Default="00B756B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Recrea</w:t>
            </w:r>
          </w:p>
        </w:tc>
        <w:tc>
          <w:tcPr>
            <w:tcW w:w="3119" w:type="dxa"/>
          </w:tcPr>
          <w:p w:rsidR="00807BB5" w:rsidRPr="004E5FB0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B756BB" w:rsidP="00CB50B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B756BB" w:rsidP="00CB50B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Pr="00CB50B8" w:rsidRDefault="00CB50B8" w:rsidP="00CB50B8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CB50B8">
              <w:rPr>
                <w:rFonts w:ascii="Calibri" w:eastAsia="Times New Roman" w:hAnsi="Calibri" w:cs="Times New Roman"/>
                <w:lang w:eastAsia="es-MX"/>
              </w:rPr>
              <w:t>67%</w:t>
            </w:r>
          </w:p>
        </w:tc>
      </w:tr>
      <w:tr w:rsidR="00807BB5" w:rsidTr="00371525">
        <w:tc>
          <w:tcPr>
            <w:tcW w:w="567" w:type="dxa"/>
          </w:tcPr>
          <w:p w:rsidR="00807BB5" w:rsidRDefault="0045185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Default="0045185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Pension de Adultos Mayores</w:t>
            </w:r>
          </w:p>
        </w:tc>
        <w:tc>
          <w:tcPr>
            <w:tcW w:w="3119" w:type="dxa"/>
          </w:tcPr>
          <w:p w:rsidR="00807BB5" w:rsidRPr="004E5FB0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B756BB" w:rsidP="00CB50B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B756BB" w:rsidP="00CB50B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Pr="00CB50B8" w:rsidRDefault="00CB50B8" w:rsidP="00CB50B8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CB50B8">
              <w:rPr>
                <w:rFonts w:ascii="Calibri" w:eastAsia="Times New Roman" w:hAnsi="Calibri" w:cs="Times New Roman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45185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3</w:t>
            </w:r>
          </w:p>
        </w:tc>
        <w:tc>
          <w:tcPr>
            <w:tcW w:w="1702" w:type="dxa"/>
          </w:tcPr>
          <w:p w:rsidR="00807BB5" w:rsidRDefault="0045185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Multimodal</w:t>
            </w:r>
          </w:p>
        </w:tc>
        <w:tc>
          <w:tcPr>
            <w:tcW w:w="3119" w:type="dxa"/>
          </w:tcPr>
          <w:p w:rsidR="00807BB5" w:rsidRPr="004E5FB0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45185D" w:rsidP="00CB50B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Default="0045185D" w:rsidP="00CB50B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Pr="00CB50B8" w:rsidRDefault="00CB50B8" w:rsidP="00CB50B8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CB50B8">
              <w:rPr>
                <w:rFonts w:ascii="Calibri" w:eastAsia="Times New Roman" w:hAnsi="Calibri" w:cs="Times New Roman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8D00F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02" w:type="dxa"/>
          </w:tcPr>
          <w:p w:rsidR="00807BB5" w:rsidRDefault="008D00F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Jalisco te Reconoce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B756BB" w:rsidP="00CB50B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B756BB" w:rsidP="00CB50B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Pr="00CB50B8" w:rsidRDefault="00CB50B8" w:rsidP="00CB50B8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CB50B8">
              <w:rPr>
                <w:rFonts w:ascii="Calibri" w:eastAsia="Times New Roman" w:hAnsi="Calibri" w:cs="Times New Roman"/>
                <w:lang w:eastAsia="es-MX"/>
              </w:rPr>
              <w:t>67%</w:t>
            </w:r>
          </w:p>
        </w:tc>
      </w:tr>
      <w:tr w:rsidR="00807BB5" w:rsidTr="00371525">
        <w:tc>
          <w:tcPr>
            <w:tcW w:w="567" w:type="dxa"/>
          </w:tcPr>
          <w:p w:rsidR="00807BB5" w:rsidRDefault="008D00F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702" w:type="dxa"/>
          </w:tcPr>
          <w:p w:rsidR="00807BB5" w:rsidRDefault="008D00F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Jalisco Revive tu Hogar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B756BB" w:rsidP="00CB50B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:rsidR="00807BB5" w:rsidRDefault="00B756BB" w:rsidP="00CB50B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Pr="00CB50B8" w:rsidRDefault="00CB50B8" w:rsidP="00CB50B8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CB50B8">
              <w:rPr>
                <w:rFonts w:ascii="Calibri" w:eastAsia="Times New Roman" w:hAnsi="Calibri" w:cs="Times New Roman"/>
                <w:lang w:eastAsia="es-MX"/>
              </w:rPr>
              <w:t>100%</w:t>
            </w:r>
          </w:p>
        </w:tc>
      </w:tr>
      <w:tr w:rsidR="00CB50B8" w:rsidTr="00371525">
        <w:tc>
          <w:tcPr>
            <w:tcW w:w="567" w:type="dxa"/>
          </w:tcPr>
          <w:p w:rsidR="00CB50B8" w:rsidRDefault="00CB50B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CB50B8" w:rsidRPr="00CB50B8" w:rsidRDefault="00CB50B8" w:rsidP="00CB50B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28"/>
                <w:lang w:eastAsia="es-MX"/>
              </w:rPr>
            </w:pPr>
            <w:r w:rsidRPr="00CB50B8">
              <w:rPr>
                <w:rFonts w:ascii="Calibri" w:eastAsia="Times New Roman" w:hAnsi="Calibri" w:cs="Times New Roman"/>
                <w:b/>
                <w:sz w:val="28"/>
                <w:lang w:eastAsia="es-MX"/>
              </w:rPr>
              <w:t>TOTAL</w:t>
            </w:r>
          </w:p>
        </w:tc>
        <w:tc>
          <w:tcPr>
            <w:tcW w:w="3119" w:type="dxa"/>
          </w:tcPr>
          <w:p w:rsidR="00CB50B8" w:rsidRPr="00CB50B8" w:rsidRDefault="00CB50B8" w:rsidP="00CB50B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28"/>
                <w:lang w:eastAsia="es-MX"/>
              </w:rPr>
            </w:pPr>
          </w:p>
        </w:tc>
        <w:tc>
          <w:tcPr>
            <w:tcW w:w="1842" w:type="dxa"/>
          </w:tcPr>
          <w:p w:rsidR="00CB50B8" w:rsidRPr="00CB50B8" w:rsidRDefault="00CB50B8" w:rsidP="00CB50B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28"/>
                <w:lang w:eastAsia="es-MX"/>
              </w:rPr>
            </w:pPr>
          </w:p>
        </w:tc>
        <w:tc>
          <w:tcPr>
            <w:tcW w:w="1560" w:type="dxa"/>
          </w:tcPr>
          <w:p w:rsidR="00CB50B8" w:rsidRPr="00CB50B8" w:rsidRDefault="00CB50B8" w:rsidP="00CB50B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28"/>
                <w:lang w:eastAsia="es-MX"/>
              </w:rPr>
            </w:pPr>
          </w:p>
        </w:tc>
        <w:tc>
          <w:tcPr>
            <w:tcW w:w="2125" w:type="dxa"/>
          </w:tcPr>
          <w:p w:rsidR="00CB50B8" w:rsidRPr="00CB50B8" w:rsidRDefault="00CB50B8" w:rsidP="00CB50B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28"/>
                <w:lang w:eastAsia="es-MX"/>
              </w:rPr>
            </w:pPr>
            <w:r w:rsidRPr="00CB50B8">
              <w:rPr>
                <w:rFonts w:ascii="Calibri" w:eastAsia="Times New Roman" w:hAnsi="Calibri" w:cs="Times New Roman"/>
                <w:b/>
                <w:sz w:val="28"/>
                <w:lang w:eastAsia="es-MX"/>
              </w:rPr>
              <w:t>87%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069" w:rsidRDefault="00186069" w:rsidP="005F2963">
      <w:pPr>
        <w:spacing w:after="0" w:line="240" w:lineRule="auto"/>
      </w:pPr>
      <w:r>
        <w:separator/>
      </w:r>
    </w:p>
  </w:endnote>
  <w:endnote w:type="continuationSeparator" w:id="0">
    <w:p w:rsidR="00186069" w:rsidRDefault="00186069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069" w:rsidRDefault="00186069" w:rsidP="005F2963">
      <w:pPr>
        <w:spacing w:after="0" w:line="240" w:lineRule="auto"/>
      </w:pPr>
      <w:r>
        <w:separator/>
      </w:r>
    </w:p>
  </w:footnote>
  <w:footnote w:type="continuationSeparator" w:id="0">
    <w:p w:rsidR="00186069" w:rsidRDefault="00186069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05DE8FE6"/>
    <w:lvl w:ilvl="0" w:tplc="15A6E744">
      <w:start w:val="1"/>
      <w:numFmt w:val="decimal"/>
      <w:lvlText w:val="%1)"/>
      <w:lvlJc w:val="left"/>
      <w:pPr>
        <w:ind w:left="502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63C75"/>
    <w:multiLevelType w:val="hybridMultilevel"/>
    <w:tmpl w:val="05DE8FE6"/>
    <w:lvl w:ilvl="0" w:tplc="15A6E744">
      <w:start w:val="1"/>
      <w:numFmt w:val="decimal"/>
      <w:lvlText w:val="%1)"/>
      <w:lvlJc w:val="left"/>
      <w:pPr>
        <w:ind w:left="502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CFB2BF7"/>
    <w:multiLevelType w:val="hybridMultilevel"/>
    <w:tmpl w:val="05DE8FE6"/>
    <w:lvl w:ilvl="0" w:tplc="15A6E744">
      <w:start w:val="1"/>
      <w:numFmt w:val="decimal"/>
      <w:lvlText w:val="%1)"/>
      <w:lvlJc w:val="left"/>
      <w:pPr>
        <w:ind w:left="502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36279"/>
    <w:rsid w:val="00064A15"/>
    <w:rsid w:val="001455F5"/>
    <w:rsid w:val="00176E9A"/>
    <w:rsid w:val="00186069"/>
    <w:rsid w:val="0022271F"/>
    <w:rsid w:val="002252BB"/>
    <w:rsid w:val="00254EE0"/>
    <w:rsid w:val="00263B61"/>
    <w:rsid w:val="002858D4"/>
    <w:rsid w:val="002A15B2"/>
    <w:rsid w:val="00320F45"/>
    <w:rsid w:val="00390E63"/>
    <w:rsid w:val="003F0129"/>
    <w:rsid w:val="0045185D"/>
    <w:rsid w:val="004C120A"/>
    <w:rsid w:val="004C362F"/>
    <w:rsid w:val="004E5FB0"/>
    <w:rsid w:val="0053024C"/>
    <w:rsid w:val="005363A2"/>
    <w:rsid w:val="00553D33"/>
    <w:rsid w:val="00574387"/>
    <w:rsid w:val="005A0969"/>
    <w:rsid w:val="005E49D8"/>
    <w:rsid w:val="005F2963"/>
    <w:rsid w:val="00630632"/>
    <w:rsid w:val="00657B6D"/>
    <w:rsid w:val="00683EFC"/>
    <w:rsid w:val="0069410C"/>
    <w:rsid w:val="006A4848"/>
    <w:rsid w:val="006E3AEA"/>
    <w:rsid w:val="007107BC"/>
    <w:rsid w:val="007363AF"/>
    <w:rsid w:val="00807BB5"/>
    <w:rsid w:val="008239D5"/>
    <w:rsid w:val="00832A3E"/>
    <w:rsid w:val="00833C21"/>
    <w:rsid w:val="00852382"/>
    <w:rsid w:val="008615CA"/>
    <w:rsid w:val="008977F1"/>
    <w:rsid w:val="008D00FF"/>
    <w:rsid w:val="009719E5"/>
    <w:rsid w:val="00990E92"/>
    <w:rsid w:val="009B1596"/>
    <w:rsid w:val="009D3B0F"/>
    <w:rsid w:val="00A32A93"/>
    <w:rsid w:val="00A62570"/>
    <w:rsid w:val="00A82C8D"/>
    <w:rsid w:val="00A842E3"/>
    <w:rsid w:val="00A912B3"/>
    <w:rsid w:val="00B63521"/>
    <w:rsid w:val="00B756BB"/>
    <w:rsid w:val="00BB1F7B"/>
    <w:rsid w:val="00C110B1"/>
    <w:rsid w:val="00CA05FC"/>
    <w:rsid w:val="00CB50B8"/>
    <w:rsid w:val="00CF4C8A"/>
    <w:rsid w:val="00D20F62"/>
    <w:rsid w:val="00D74E39"/>
    <w:rsid w:val="00D76F75"/>
    <w:rsid w:val="00D82038"/>
    <w:rsid w:val="00D85843"/>
    <w:rsid w:val="00DB52D3"/>
    <w:rsid w:val="00DD735B"/>
    <w:rsid w:val="00EA2CC5"/>
    <w:rsid w:val="00EF0820"/>
    <w:rsid w:val="00FE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2019-04-01T20:10:00Z</cp:lastPrinted>
  <dcterms:created xsi:type="dcterms:W3CDTF">2020-01-13T20:23:00Z</dcterms:created>
  <dcterms:modified xsi:type="dcterms:W3CDTF">2020-01-13T20:23:00Z</dcterms:modified>
</cp:coreProperties>
</file>