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8C30F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81076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7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E02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02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Planeación, Evaluación y Agenda para el Desarrollo Mpal.</w:t>
                            </w:r>
                            <w:r w:rsidR="00E0200E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E0200E" w:rsidRPr="00E02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0200E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Lic. Daniela Rameño Rivera</w:t>
                            </w:r>
                          </w:p>
                          <w:p w:rsidR="00B63521" w:rsidRPr="00320F45" w:rsidRDefault="00E44B5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D86BD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OCTUBRE- DICIEMBRE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78.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LYgg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E02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02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Planeación, Evaluación y Agenda para el Desarrollo Mpal.</w:t>
                      </w:r>
                      <w:r w:rsidR="00E0200E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E0200E" w:rsidRPr="00E02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0200E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Lic. Daniela Rameño Rivera</w:t>
                      </w:r>
                    </w:p>
                    <w:p w:rsidR="00B63521" w:rsidRPr="00320F45" w:rsidRDefault="00E44B5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D86BD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OCTUBRE- DICIEMBRE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x/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  <w:lang w:eastAsia="es-MX"/>
        </w:rPr>
        <w:t>P</w:t>
      </w:r>
      <w:r w:rsidRPr="00832A3E">
        <w:rPr>
          <w:rFonts w:ascii="Arial" w:eastAsia="Times New Roman" w:hAnsi="Arial" w:cs="Arial"/>
          <w:color w:val="000000"/>
          <w:lang w:eastAsia="es-MX"/>
        </w:rPr>
        <w:t>laneadas para este trimestre?</w:t>
      </w:r>
    </w:p>
    <w:p w:rsidR="00893142" w:rsidRPr="00832A3E" w:rsidRDefault="00893142" w:rsidP="0089314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0200E" w:rsidRPr="00EE7F9C" w:rsidRDefault="00E0200E" w:rsidP="00290ABD">
      <w:pPr>
        <w:pStyle w:val="Prrafodelista"/>
        <w:numPr>
          <w:ilvl w:val="2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EE7F9C">
        <w:rPr>
          <w:rFonts w:ascii="Arial" w:eastAsia="Times New Roman" w:hAnsi="Arial" w:cs="Arial"/>
          <w:color w:val="000000"/>
          <w:lang w:eastAsia="es-MX"/>
        </w:rPr>
        <w:t>COPPLADEMUN (SEGUIMIENTO)</w:t>
      </w:r>
    </w:p>
    <w:p w:rsidR="00E0200E" w:rsidRDefault="00E0200E" w:rsidP="00290ABD">
      <w:pPr>
        <w:pStyle w:val="Prrafodelista"/>
        <w:numPr>
          <w:ilvl w:val="2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Evaluaciones trimestrales y </w:t>
      </w:r>
      <w:r w:rsidR="006535A5">
        <w:rPr>
          <w:rFonts w:ascii="Arial" w:eastAsia="Times New Roman" w:hAnsi="Arial" w:cs="Arial"/>
          <w:color w:val="000000"/>
          <w:lang w:eastAsia="es-MX"/>
        </w:rPr>
        <w:t>de desempeño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E0200E" w:rsidRDefault="00E0200E" w:rsidP="00290ABD">
      <w:pPr>
        <w:pStyle w:val="Prrafodelista"/>
        <w:numPr>
          <w:ilvl w:val="2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Promover la realización o actualización de Reglamentos y manuales de organización, servicios y protocolos de todas las jefaturas y direcciones del Gobierno Municipal. </w:t>
      </w:r>
    </w:p>
    <w:p w:rsidR="006535A5" w:rsidRPr="00FD581A" w:rsidRDefault="00D86BDD" w:rsidP="00290ABD">
      <w:pPr>
        <w:pStyle w:val="Prrafodelista"/>
        <w:numPr>
          <w:ilvl w:val="2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Apoyar a las Direcciones del Gobierno Municipal en la Elaboración del Programa Operativo Anual (POA) 2020,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893142" w:rsidRDefault="00893142" w:rsidP="0089314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06CF3" w:rsidRDefault="00E06CF3" w:rsidP="00290AB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Los trabajos del</w:t>
      </w:r>
      <w:r w:rsidRPr="00A00435">
        <w:rPr>
          <w:rFonts w:ascii="Arial" w:eastAsia="Times New Roman" w:hAnsi="Arial" w:cs="Arial"/>
          <w:color w:val="000000"/>
          <w:lang w:eastAsia="es-MX"/>
        </w:rPr>
        <w:t xml:space="preserve"> COPPLADEMUN </w:t>
      </w:r>
      <w:r>
        <w:rPr>
          <w:rFonts w:ascii="Arial" w:eastAsia="Times New Roman" w:hAnsi="Arial" w:cs="Arial"/>
          <w:color w:val="000000"/>
          <w:lang w:eastAsia="es-MX"/>
        </w:rPr>
        <w:t>se siguen l</w:t>
      </w:r>
      <w:r w:rsidR="00D86BDD">
        <w:rPr>
          <w:rFonts w:ascii="Arial" w:eastAsia="Times New Roman" w:hAnsi="Arial" w:cs="Arial"/>
          <w:color w:val="000000"/>
          <w:lang w:eastAsia="es-MX"/>
        </w:rPr>
        <w:t>levando a cabo, la última sesión del Consejo del 2019 se realizó en el mes  de dici</w:t>
      </w:r>
      <w:r>
        <w:rPr>
          <w:rFonts w:ascii="Arial" w:eastAsia="Times New Roman" w:hAnsi="Arial" w:cs="Arial"/>
          <w:color w:val="000000"/>
          <w:lang w:eastAsia="es-MX"/>
        </w:rPr>
        <w:t>embre</w:t>
      </w:r>
      <w:r w:rsidR="00D86BDD">
        <w:rPr>
          <w:rFonts w:ascii="Arial" w:eastAsia="Times New Roman" w:hAnsi="Arial" w:cs="Arial"/>
          <w:color w:val="000000"/>
          <w:lang w:eastAsia="es-MX"/>
        </w:rPr>
        <w:t>, en esta reunión  se acordó el calendario de Sesiones del 2020</w:t>
      </w:r>
      <w:r>
        <w:rPr>
          <w:rFonts w:ascii="Arial" w:eastAsia="Times New Roman" w:hAnsi="Arial" w:cs="Arial"/>
          <w:color w:val="000000"/>
          <w:lang w:eastAsia="es-MX"/>
        </w:rPr>
        <w:t>, se</w:t>
      </w:r>
      <w:r w:rsidR="00D86BDD">
        <w:rPr>
          <w:rFonts w:ascii="Arial" w:eastAsia="Times New Roman" w:hAnsi="Arial" w:cs="Arial"/>
          <w:color w:val="000000"/>
          <w:lang w:eastAsia="es-MX"/>
        </w:rPr>
        <w:t xml:space="preserve"> hicieron modificaciones al Reglamento del Copplademun y se presentó el listado final de obras realizadas en el 2019</w:t>
      </w:r>
      <w:r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E06CF3" w:rsidRDefault="00E06CF3" w:rsidP="00290AB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</w:t>
      </w:r>
      <w:r w:rsidR="002B5211">
        <w:rPr>
          <w:rFonts w:ascii="Arial" w:eastAsia="Times New Roman" w:hAnsi="Arial" w:cs="Arial"/>
          <w:color w:val="000000"/>
          <w:lang w:eastAsia="es-MX"/>
        </w:rPr>
        <w:t>recibieron</w:t>
      </w:r>
      <w:r>
        <w:rPr>
          <w:rFonts w:ascii="Arial" w:eastAsia="Times New Roman" w:hAnsi="Arial" w:cs="Arial"/>
          <w:color w:val="000000"/>
          <w:lang w:eastAsia="es-MX"/>
        </w:rPr>
        <w:t xml:space="preserve"> las evaluaciones trimestrales</w:t>
      </w:r>
      <w:r w:rsidR="002B5211">
        <w:rPr>
          <w:rFonts w:ascii="Arial" w:eastAsia="Times New Roman" w:hAnsi="Arial" w:cs="Arial"/>
          <w:color w:val="000000"/>
          <w:lang w:eastAsia="es-MX"/>
        </w:rPr>
        <w:t xml:space="preserve"> y del desempeño</w:t>
      </w:r>
      <w:r>
        <w:rPr>
          <w:rFonts w:ascii="Arial" w:eastAsia="Times New Roman" w:hAnsi="Arial" w:cs="Arial"/>
          <w:color w:val="000000"/>
          <w:lang w:eastAsia="es-MX"/>
        </w:rPr>
        <w:t>, correspondientes al tercer t</w:t>
      </w:r>
      <w:r w:rsidR="002B5211">
        <w:rPr>
          <w:rFonts w:ascii="Arial" w:eastAsia="Times New Roman" w:hAnsi="Arial" w:cs="Arial"/>
          <w:color w:val="000000"/>
          <w:lang w:eastAsia="es-MX"/>
        </w:rPr>
        <w:t>rimestre (julio-septiembre) de</w:t>
      </w:r>
      <w:r>
        <w:rPr>
          <w:rFonts w:ascii="Arial" w:eastAsia="Times New Roman" w:hAnsi="Arial" w:cs="Arial"/>
          <w:color w:val="000000"/>
          <w:lang w:eastAsia="es-MX"/>
        </w:rPr>
        <w:t xml:space="preserve"> todas las áreas, para posteriormente ser evaluados</w:t>
      </w:r>
      <w:r w:rsidR="002B5211">
        <w:rPr>
          <w:rFonts w:ascii="Arial" w:eastAsia="Times New Roman" w:hAnsi="Arial" w:cs="Arial"/>
          <w:color w:val="000000"/>
          <w:lang w:eastAsia="es-MX"/>
        </w:rPr>
        <w:t xml:space="preserve"> y dar a conocer los resultados, en la plataforma de transparencia.</w:t>
      </w:r>
    </w:p>
    <w:p w:rsidR="00E06CF3" w:rsidRDefault="00E06CF3" w:rsidP="00290AB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Continuamos Promoviendo y Asesorando en la realización de los distintos manuales de organización y reglamentos, brindando una estructura general y resolviendo dudas, para enviarlos a sindicatura para revisión y aprobación; finalmente someterlas al pleno para la publicación correspondiente. </w:t>
      </w:r>
    </w:p>
    <w:p w:rsidR="00832A3E" w:rsidRDefault="002B5211" w:rsidP="00290ABD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el mes de noviembre, se hicieron los preparativos para la capacitación de la Elaboración del POA 2020, </w:t>
      </w:r>
      <w:r w:rsidR="006535A5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en esta ocasión solo se citaron a los Directores de cada Área, para la realización de dicho documento, se pasaron los formatos y se fijó la fecha límite de entrega.</w:t>
      </w:r>
    </w:p>
    <w:p w:rsidR="00EE7F9C" w:rsidRPr="00EE7F9C" w:rsidRDefault="00EE7F9C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</w:p>
    <w:p w:rsidR="00832A3E" w:rsidRPr="00EE7F9C" w:rsidRDefault="00EE7F9C" w:rsidP="00EE7F9C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No aplica</w:t>
      </w:r>
    </w:p>
    <w:p w:rsidR="00893142" w:rsidRPr="0050718B" w:rsidRDefault="00832A3E" w:rsidP="0050718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  <w:lang w:eastAsia="es-MX"/>
        </w:rPr>
        <w:t>.</w:t>
      </w:r>
    </w:p>
    <w:p w:rsidR="00832A3E" w:rsidRPr="0050718B" w:rsidRDefault="00893142" w:rsidP="0050718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lang w:eastAsia="es-MX"/>
        </w:rPr>
      </w:pPr>
      <w:r w:rsidRPr="0050718B">
        <w:rPr>
          <w:rFonts w:ascii="Arial" w:eastAsia="Times New Roman" w:hAnsi="Arial" w:cs="Arial"/>
          <w:lang w:eastAsia="es-MX"/>
        </w:rPr>
        <w:lastRenderedPageBreak/>
        <w:t xml:space="preserve">En </w:t>
      </w:r>
      <w:r w:rsidR="0050718B" w:rsidRPr="0050718B">
        <w:rPr>
          <w:rFonts w:ascii="Arial" w:eastAsia="Times New Roman" w:hAnsi="Arial" w:cs="Arial"/>
          <w:lang w:eastAsia="es-MX"/>
        </w:rPr>
        <w:t>el desarrollo integral</w:t>
      </w:r>
      <w:r w:rsidRPr="0050718B">
        <w:rPr>
          <w:rFonts w:ascii="Arial" w:eastAsia="Times New Roman" w:hAnsi="Arial" w:cs="Arial"/>
          <w:lang w:eastAsia="es-MX"/>
        </w:rPr>
        <w:t xml:space="preserve"> del Municipio,</w:t>
      </w:r>
      <w:r w:rsidR="00EB0277" w:rsidRPr="0050718B">
        <w:rPr>
          <w:rFonts w:ascii="Arial" w:eastAsia="Times New Roman" w:hAnsi="Arial" w:cs="Arial"/>
          <w:lang w:eastAsia="es-MX"/>
        </w:rPr>
        <w:t xml:space="preserve"> </w:t>
      </w:r>
      <w:r w:rsidR="0050718B" w:rsidRPr="0050718B">
        <w:rPr>
          <w:rFonts w:ascii="Arial" w:eastAsia="Times New Roman" w:hAnsi="Arial" w:cs="Arial"/>
          <w:lang w:eastAsia="es-MX"/>
        </w:rPr>
        <w:t xml:space="preserve">pues la administración pública debe de tener directrices establecidas </w:t>
      </w:r>
      <w:r w:rsidR="007D4011">
        <w:rPr>
          <w:rFonts w:ascii="Arial" w:eastAsia="Times New Roman" w:hAnsi="Arial" w:cs="Arial"/>
          <w:lang w:eastAsia="es-MX"/>
        </w:rPr>
        <w:t>que fijen el rumbo del Gobierno y</w:t>
      </w:r>
      <w:r w:rsidR="0050718B" w:rsidRPr="0050718B">
        <w:rPr>
          <w:rFonts w:ascii="Arial" w:eastAsia="Times New Roman" w:hAnsi="Arial" w:cs="Arial"/>
          <w:lang w:eastAsia="es-MX"/>
        </w:rPr>
        <w:t xml:space="preserve"> en donde</w:t>
      </w:r>
      <w:r w:rsidR="00EB0277" w:rsidRPr="0050718B">
        <w:rPr>
          <w:rFonts w:ascii="Arial" w:eastAsia="Times New Roman" w:hAnsi="Arial" w:cs="Arial"/>
          <w:lang w:eastAsia="es-MX"/>
        </w:rPr>
        <w:t xml:space="preserve"> </w:t>
      </w:r>
      <w:r w:rsidR="0050718B" w:rsidRPr="0050718B">
        <w:rPr>
          <w:rFonts w:ascii="Arial" w:eastAsia="Times New Roman" w:hAnsi="Arial" w:cs="Arial"/>
          <w:lang w:eastAsia="es-MX"/>
        </w:rPr>
        <w:t>todas la áreas se profesionalicen y actualicen</w:t>
      </w:r>
      <w:r w:rsidR="00EB0277" w:rsidRPr="0050718B">
        <w:rPr>
          <w:rFonts w:ascii="Arial" w:eastAsia="Times New Roman" w:hAnsi="Arial" w:cs="Arial"/>
          <w:lang w:eastAsia="es-MX"/>
        </w:rPr>
        <w:t xml:space="preserve"> para el mejor desempeño de sus direcciones, </w:t>
      </w:r>
      <w:r w:rsidR="0050718B" w:rsidRPr="0050718B">
        <w:rPr>
          <w:rFonts w:ascii="Arial" w:eastAsia="Times New Roman" w:hAnsi="Arial" w:cs="Arial"/>
          <w:lang w:eastAsia="es-MX"/>
        </w:rPr>
        <w:t>ahora</w:t>
      </w:r>
      <w:r w:rsidR="00EB0277" w:rsidRPr="0050718B">
        <w:rPr>
          <w:rFonts w:ascii="Arial" w:eastAsia="Times New Roman" w:hAnsi="Arial" w:cs="Arial"/>
          <w:lang w:eastAsia="es-MX"/>
        </w:rPr>
        <w:t xml:space="preserve"> cuentan ya con instrumentos que les permiten una buena organización, dar mejor servicio y tiene procedimientos establecidos además de un plan operativo anual que les permite priorizar sus estrate</w:t>
      </w:r>
      <w:r w:rsidR="0050718B" w:rsidRPr="0050718B">
        <w:rPr>
          <w:rFonts w:ascii="Arial" w:eastAsia="Times New Roman" w:hAnsi="Arial" w:cs="Arial"/>
          <w:lang w:eastAsia="es-MX"/>
        </w:rPr>
        <w:t>gias y se cuenta con un sistema de</w:t>
      </w:r>
      <w:r w:rsidR="003C11F8" w:rsidRPr="0050718B">
        <w:rPr>
          <w:rFonts w:ascii="Arial" w:eastAsia="Times New Roman" w:hAnsi="Arial" w:cs="Arial"/>
          <w:lang w:eastAsia="es-MX"/>
        </w:rPr>
        <w:t xml:space="preserve"> evaluación al trabajo realizado, asi como una evaluación del desempeño a los titulares </w:t>
      </w:r>
      <w:r w:rsidR="0050718B" w:rsidRPr="0050718B">
        <w:rPr>
          <w:rFonts w:ascii="Arial" w:eastAsia="Times New Roman" w:hAnsi="Arial" w:cs="Arial"/>
          <w:lang w:eastAsia="es-MX"/>
        </w:rPr>
        <w:t>de las áreas.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EE7F9C" w:rsidRPr="00652948" w:rsidRDefault="00EE7F9C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2.- I</w:t>
      </w:r>
      <w:r w:rsidRPr="00652948">
        <w:rPr>
          <w:rFonts w:ascii="Arial" w:eastAsia="Times New Roman" w:hAnsi="Arial" w:cs="Arial"/>
          <w:color w:val="000000"/>
          <w:lang w:eastAsia="es-MX"/>
        </w:rPr>
        <w:t xml:space="preserve">ntegración </w:t>
      </w:r>
      <w:r w:rsidR="00290ABD">
        <w:rPr>
          <w:rFonts w:ascii="Arial" w:eastAsia="Times New Roman" w:hAnsi="Arial" w:cs="Arial"/>
          <w:color w:val="000000"/>
          <w:lang w:eastAsia="es-MX"/>
        </w:rPr>
        <w:t xml:space="preserve">y seguimiento </w:t>
      </w:r>
      <w:r w:rsidRPr="00652948">
        <w:rPr>
          <w:rFonts w:ascii="Arial" w:eastAsia="Times New Roman" w:hAnsi="Arial" w:cs="Arial"/>
          <w:color w:val="000000"/>
          <w:lang w:eastAsia="es-MX"/>
        </w:rPr>
        <w:t xml:space="preserve">del COPPLADEMUN y sesiones de </w:t>
      </w:r>
      <w:r w:rsidR="0050718B" w:rsidRPr="00652948">
        <w:rPr>
          <w:rFonts w:ascii="Arial" w:eastAsia="Times New Roman" w:hAnsi="Arial" w:cs="Arial"/>
          <w:color w:val="000000"/>
          <w:lang w:eastAsia="es-MX"/>
        </w:rPr>
        <w:t>tra</w:t>
      </w:r>
      <w:r w:rsidR="0050718B">
        <w:rPr>
          <w:rFonts w:ascii="Arial" w:eastAsia="Times New Roman" w:hAnsi="Arial" w:cs="Arial"/>
          <w:color w:val="000000"/>
          <w:lang w:eastAsia="es-MX"/>
        </w:rPr>
        <w:t>b</w:t>
      </w:r>
      <w:r w:rsidR="0050718B" w:rsidRPr="00652948">
        <w:rPr>
          <w:rFonts w:ascii="Arial" w:eastAsia="Times New Roman" w:hAnsi="Arial" w:cs="Arial"/>
          <w:color w:val="000000"/>
          <w:lang w:eastAsia="es-MX"/>
        </w:rPr>
        <w:t>ajo</w:t>
      </w:r>
      <w:r w:rsidRPr="00652948">
        <w:rPr>
          <w:rFonts w:ascii="Arial" w:eastAsia="Times New Roman" w:hAnsi="Arial" w:cs="Arial"/>
          <w:color w:val="000000"/>
          <w:lang w:eastAsia="es-MX"/>
        </w:rPr>
        <w:t xml:space="preserve">; </w:t>
      </w:r>
    </w:p>
    <w:p w:rsidR="00EE7F9C" w:rsidRPr="00652948" w:rsidRDefault="00EE7F9C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="00290ABD">
        <w:rPr>
          <w:rFonts w:ascii="Arial" w:eastAsia="Times New Roman" w:hAnsi="Arial" w:cs="Arial"/>
          <w:color w:val="000000"/>
          <w:lang w:eastAsia="es-MX"/>
        </w:rPr>
        <w:t>strategia 7</w:t>
      </w:r>
      <w:r>
        <w:rPr>
          <w:rFonts w:ascii="Arial" w:eastAsia="Times New Roman" w:hAnsi="Arial" w:cs="Arial"/>
          <w:color w:val="000000"/>
          <w:lang w:eastAsia="es-MX"/>
        </w:rPr>
        <w:t>.- E</w:t>
      </w:r>
      <w:r w:rsidRPr="00652948">
        <w:rPr>
          <w:rFonts w:ascii="Arial" w:eastAsia="Times New Roman" w:hAnsi="Arial" w:cs="Arial"/>
          <w:color w:val="000000"/>
          <w:lang w:eastAsia="es-MX"/>
        </w:rPr>
        <w:t>valuaci</w:t>
      </w:r>
      <w:r w:rsidR="00893142">
        <w:rPr>
          <w:rFonts w:ascii="Arial" w:eastAsia="Times New Roman" w:hAnsi="Arial" w:cs="Arial"/>
          <w:color w:val="000000"/>
          <w:lang w:eastAsia="es-MX"/>
        </w:rPr>
        <w:t>ones trimestrales de desempeño</w:t>
      </w:r>
    </w:p>
    <w:p w:rsidR="00EE7F9C" w:rsidRDefault="00EE7F9C" w:rsidP="00EE7F9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</w:t>
      </w:r>
      <w:r w:rsidR="00290ABD">
        <w:rPr>
          <w:rFonts w:ascii="Arial" w:eastAsia="Times New Roman" w:hAnsi="Arial" w:cs="Arial"/>
          <w:color w:val="000000"/>
          <w:lang w:eastAsia="es-MX"/>
        </w:rPr>
        <w:t>strategia 8</w:t>
      </w:r>
      <w:r>
        <w:rPr>
          <w:rFonts w:ascii="Arial" w:eastAsia="Times New Roman" w:hAnsi="Arial" w:cs="Arial"/>
          <w:color w:val="000000"/>
          <w:lang w:eastAsia="es-MX"/>
        </w:rPr>
        <w:t>.- P</w:t>
      </w:r>
      <w:r w:rsidRPr="00652948">
        <w:rPr>
          <w:rFonts w:ascii="Arial" w:eastAsia="Times New Roman" w:hAnsi="Arial" w:cs="Arial"/>
          <w:color w:val="000000"/>
          <w:lang w:eastAsia="es-MX"/>
        </w:rPr>
        <w:t>romover la elaboración o actualización de los reglamentos y manuales de organización, servicios y protoco</w:t>
      </w:r>
      <w:r>
        <w:rPr>
          <w:rFonts w:ascii="Arial" w:eastAsia="Times New Roman" w:hAnsi="Arial" w:cs="Arial"/>
          <w:color w:val="000000"/>
          <w:lang w:eastAsia="es-MX"/>
        </w:rPr>
        <w:t>lo</w:t>
      </w:r>
      <w:r w:rsidRPr="00652948">
        <w:rPr>
          <w:rFonts w:ascii="Arial" w:eastAsia="Times New Roman" w:hAnsi="Arial" w:cs="Arial"/>
          <w:color w:val="000000"/>
          <w:lang w:eastAsia="es-MX"/>
        </w:rPr>
        <w:t xml:space="preserve"> de todas las jefaturas y dir</w:t>
      </w:r>
      <w:r>
        <w:rPr>
          <w:rFonts w:ascii="Arial" w:eastAsia="Times New Roman" w:hAnsi="Arial" w:cs="Arial"/>
          <w:color w:val="000000"/>
          <w:lang w:eastAsia="es-MX"/>
        </w:rPr>
        <w:t>ecciones del go</w:t>
      </w:r>
      <w:r w:rsidR="0050718B">
        <w:rPr>
          <w:rFonts w:ascii="Arial" w:eastAsia="Times New Roman" w:hAnsi="Arial" w:cs="Arial"/>
          <w:color w:val="000000"/>
          <w:lang w:eastAsia="es-MX"/>
        </w:rPr>
        <w:t>bierno municipal</w:t>
      </w:r>
      <w:r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:rsidR="00290ABD" w:rsidRPr="008A7A2B" w:rsidRDefault="008A7A2B" w:rsidP="008A7A2B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Pr="008A7A2B">
        <w:rPr>
          <w:rFonts w:ascii="Arial" w:eastAsia="Times New Roman" w:hAnsi="Arial" w:cs="Arial"/>
          <w:color w:val="000000"/>
          <w:lang w:eastAsia="es-MX"/>
        </w:rPr>
        <w:t xml:space="preserve">Todas </w:t>
      </w:r>
      <w:r>
        <w:rPr>
          <w:rFonts w:ascii="Arial" w:eastAsia="Times New Roman" w:hAnsi="Arial" w:cs="Arial"/>
          <w:color w:val="000000"/>
          <w:lang w:eastAsia="es-MX"/>
        </w:rPr>
        <w:t>apegadas</w:t>
      </w:r>
      <w:r w:rsidR="00290ABD" w:rsidRPr="008A7A2B">
        <w:rPr>
          <w:rFonts w:ascii="Arial" w:eastAsia="Times New Roman" w:hAnsi="Arial" w:cs="Arial"/>
          <w:color w:val="000000"/>
          <w:lang w:eastAsia="es-MX"/>
        </w:rPr>
        <w:t xml:space="preserve"> al eje</w:t>
      </w:r>
      <w:r>
        <w:rPr>
          <w:rFonts w:ascii="Arial" w:eastAsia="Times New Roman" w:hAnsi="Arial" w:cs="Arial"/>
          <w:color w:val="000000"/>
          <w:lang w:eastAsia="es-MX"/>
        </w:rPr>
        <w:t xml:space="preserve"> de A</w:t>
      </w:r>
      <w:r w:rsidR="00290ABD" w:rsidRPr="008A7A2B">
        <w:rPr>
          <w:rFonts w:ascii="Arial" w:eastAsia="Times New Roman" w:hAnsi="Arial" w:cs="Arial"/>
          <w:color w:val="000000"/>
          <w:lang w:eastAsia="es-MX"/>
        </w:rPr>
        <w:t>dm</w:t>
      </w:r>
      <w:r>
        <w:rPr>
          <w:rFonts w:ascii="Arial" w:eastAsia="Times New Roman" w:hAnsi="Arial" w:cs="Arial"/>
          <w:color w:val="000000"/>
          <w:lang w:eastAsia="es-MX"/>
        </w:rPr>
        <w:t>inistración Eficiente y E</w:t>
      </w:r>
      <w:r w:rsidR="00290ABD" w:rsidRPr="008A7A2B">
        <w:rPr>
          <w:rFonts w:ascii="Arial" w:eastAsia="Times New Roman" w:hAnsi="Arial" w:cs="Arial"/>
          <w:color w:val="000000"/>
          <w:lang w:eastAsia="es-MX"/>
        </w:rPr>
        <w:t xml:space="preserve">ficaz. 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A842E3" w:rsidRPr="0050718B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432"/>
        <w:gridCol w:w="2126"/>
        <w:gridCol w:w="1559"/>
        <w:gridCol w:w="1418"/>
        <w:gridCol w:w="1813"/>
      </w:tblGrid>
      <w:tr w:rsidR="00807BB5" w:rsidTr="0050718B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43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D85843" w:rsidRDefault="00807BB5" w:rsidP="0050718B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ESTRATEGIA O ACTIVIDAD NO CONTEMPLADA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1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50718B">
        <w:tc>
          <w:tcPr>
            <w:tcW w:w="567" w:type="dxa"/>
          </w:tcPr>
          <w:p w:rsidR="00807BB5" w:rsidRDefault="00290AB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3432" w:type="dxa"/>
          </w:tcPr>
          <w:p w:rsidR="00807BB5" w:rsidRDefault="00290ABD" w:rsidP="0073708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</w:t>
            </w:r>
            <w:r w:rsidRPr="00652948">
              <w:rPr>
                <w:rFonts w:ascii="Arial" w:eastAsia="Times New Roman" w:hAnsi="Arial" w:cs="Arial"/>
                <w:color w:val="000000"/>
                <w:lang w:eastAsia="es-MX"/>
              </w:rPr>
              <w:t xml:space="preserve">ntegración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y seguimiento </w:t>
            </w:r>
            <w:r w:rsidRPr="00652948">
              <w:rPr>
                <w:rFonts w:ascii="Arial" w:eastAsia="Times New Roman" w:hAnsi="Arial" w:cs="Arial"/>
                <w:color w:val="000000"/>
                <w:lang w:eastAsia="es-MX"/>
              </w:rPr>
              <w:t>del COPPLADEMUN</w:t>
            </w:r>
          </w:p>
        </w:tc>
        <w:tc>
          <w:tcPr>
            <w:tcW w:w="212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290AB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8" w:type="dxa"/>
          </w:tcPr>
          <w:p w:rsidR="00807BB5" w:rsidRDefault="008C30F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13" w:type="dxa"/>
          </w:tcPr>
          <w:p w:rsidR="00807BB5" w:rsidRDefault="00893142" w:rsidP="00EB027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B5211" w:rsidTr="0050718B">
        <w:tc>
          <w:tcPr>
            <w:tcW w:w="567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3432" w:type="dxa"/>
          </w:tcPr>
          <w:p w:rsidR="002B5211" w:rsidRDefault="002B5211" w:rsidP="0073708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</w:t>
            </w:r>
            <w:r w:rsidRPr="00652948">
              <w:rPr>
                <w:rFonts w:ascii="Arial" w:eastAsia="Times New Roman" w:hAnsi="Arial" w:cs="Arial"/>
                <w:color w:val="000000"/>
                <w:lang w:eastAsia="es-MX"/>
              </w:rPr>
              <w:t xml:space="preserve">valuaciones trimestrales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y de desempeño</w:t>
            </w:r>
          </w:p>
        </w:tc>
        <w:tc>
          <w:tcPr>
            <w:tcW w:w="2126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8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13" w:type="dxa"/>
          </w:tcPr>
          <w:p w:rsidR="002B5211" w:rsidRDefault="002B5211" w:rsidP="002B521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B5211" w:rsidTr="0050718B">
        <w:tc>
          <w:tcPr>
            <w:tcW w:w="567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3432" w:type="dxa"/>
          </w:tcPr>
          <w:p w:rsidR="002B5211" w:rsidRDefault="002B5211" w:rsidP="0073708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90ABD">
              <w:rPr>
                <w:rFonts w:ascii="Arial" w:eastAsia="Times New Roman" w:hAnsi="Arial" w:cs="Arial"/>
                <w:color w:val="000000"/>
                <w:lang w:eastAsia="es-MX"/>
              </w:rPr>
              <w:t>Promover la elaboración o actualización de los reglamentos y manuales de organización, servicios y protocolo</w:t>
            </w:r>
          </w:p>
        </w:tc>
        <w:tc>
          <w:tcPr>
            <w:tcW w:w="2126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418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813" w:type="dxa"/>
          </w:tcPr>
          <w:p w:rsidR="002B5211" w:rsidRDefault="002B5211" w:rsidP="002B521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B5211" w:rsidTr="0050718B">
        <w:tc>
          <w:tcPr>
            <w:tcW w:w="567" w:type="dxa"/>
          </w:tcPr>
          <w:p w:rsidR="002B5211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432" w:type="dxa"/>
          </w:tcPr>
          <w:p w:rsidR="002B5211" w:rsidRDefault="002B5211" w:rsidP="002B5211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2B5211" w:rsidRDefault="0073708F" w:rsidP="0073708F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Apoyar en</w:t>
            </w:r>
            <w:r w:rsidRPr="0073708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Elaboración del Prog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rama Operativo Anual (POA) 2020.</w:t>
            </w:r>
          </w:p>
        </w:tc>
        <w:tc>
          <w:tcPr>
            <w:tcW w:w="1559" w:type="dxa"/>
          </w:tcPr>
          <w:p w:rsidR="002B5211" w:rsidRDefault="0073708F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8" w:type="dxa"/>
          </w:tcPr>
          <w:p w:rsidR="002B5211" w:rsidRDefault="0073708F" w:rsidP="002B521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13" w:type="dxa"/>
          </w:tcPr>
          <w:p w:rsidR="002B5211" w:rsidRDefault="0073708F" w:rsidP="002B521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2B5211" w:rsidRPr="00556E90" w:rsidTr="0050718B">
        <w:tc>
          <w:tcPr>
            <w:tcW w:w="567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3432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556E90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8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13" w:type="dxa"/>
            <w:shd w:val="clear" w:color="auto" w:fill="FABF8F" w:themeFill="accent6" w:themeFillTint="99"/>
          </w:tcPr>
          <w:p w:rsidR="002B5211" w:rsidRPr="00556E90" w:rsidRDefault="002B5211" w:rsidP="002B5211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100%</w:t>
            </w:r>
          </w:p>
        </w:tc>
      </w:tr>
    </w:tbl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06A" w:rsidRDefault="004D606A" w:rsidP="005F2963">
      <w:pPr>
        <w:spacing w:after="0" w:line="240" w:lineRule="auto"/>
      </w:pPr>
      <w:r>
        <w:separator/>
      </w:r>
    </w:p>
  </w:endnote>
  <w:endnote w:type="continuationSeparator" w:id="0">
    <w:p w:rsidR="004D606A" w:rsidRDefault="004D606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06A" w:rsidRDefault="004D606A" w:rsidP="005F2963">
      <w:pPr>
        <w:spacing w:after="0" w:line="240" w:lineRule="auto"/>
      </w:pPr>
      <w:r>
        <w:separator/>
      </w:r>
    </w:p>
  </w:footnote>
  <w:footnote w:type="continuationSeparator" w:id="0">
    <w:p w:rsidR="004D606A" w:rsidRDefault="004D606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51366"/>
    <w:multiLevelType w:val="hybridMultilevel"/>
    <w:tmpl w:val="BFFA55A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5834C39"/>
    <w:multiLevelType w:val="hybridMultilevel"/>
    <w:tmpl w:val="D4A2DA9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E32CDD"/>
    <w:multiLevelType w:val="hybridMultilevel"/>
    <w:tmpl w:val="A22CE22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D7FA1"/>
    <w:rsid w:val="00176E9A"/>
    <w:rsid w:val="00197A7B"/>
    <w:rsid w:val="0022271F"/>
    <w:rsid w:val="002252BB"/>
    <w:rsid w:val="00263B61"/>
    <w:rsid w:val="002858D4"/>
    <w:rsid w:val="00290ABD"/>
    <w:rsid w:val="002B5211"/>
    <w:rsid w:val="00320F45"/>
    <w:rsid w:val="003569DD"/>
    <w:rsid w:val="0036615C"/>
    <w:rsid w:val="00390E63"/>
    <w:rsid w:val="003C11F8"/>
    <w:rsid w:val="003F0129"/>
    <w:rsid w:val="00423A79"/>
    <w:rsid w:val="00474DF6"/>
    <w:rsid w:val="004C362F"/>
    <w:rsid w:val="004D606A"/>
    <w:rsid w:val="0050718B"/>
    <w:rsid w:val="0053024C"/>
    <w:rsid w:val="005363A2"/>
    <w:rsid w:val="00553B2C"/>
    <w:rsid w:val="00556E90"/>
    <w:rsid w:val="00574387"/>
    <w:rsid w:val="005A0969"/>
    <w:rsid w:val="005F2963"/>
    <w:rsid w:val="00630632"/>
    <w:rsid w:val="006535A5"/>
    <w:rsid w:val="00657B6D"/>
    <w:rsid w:val="00683EFC"/>
    <w:rsid w:val="006A4848"/>
    <w:rsid w:val="006E3AEA"/>
    <w:rsid w:val="007107BC"/>
    <w:rsid w:val="0073708F"/>
    <w:rsid w:val="007D4011"/>
    <w:rsid w:val="00807BB5"/>
    <w:rsid w:val="008239D5"/>
    <w:rsid w:val="00832A3E"/>
    <w:rsid w:val="00833C21"/>
    <w:rsid w:val="008615CA"/>
    <w:rsid w:val="00893142"/>
    <w:rsid w:val="008977F1"/>
    <w:rsid w:val="008A7A2B"/>
    <w:rsid w:val="008C30F5"/>
    <w:rsid w:val="009B1596"/>
    <w:rsid w:val="009D3D60"/>
    <w:rsid w:val="00A6538A"/>
    <w:rsid w:val="00A82C8D"/>
    <w:rsid w:val="00A842E3"/>
    <w:rsid w:val="00AB5D0A"/>
    <w:rsid w:val="00AC1596"/>
    <w:rsid w:val="00B63521"/>
    <w:rsid w:val="00BB1F7B"/>
    <w:rsid w:val="00C110B1"/>
    <w:rsid w:val="00CA05FC"/>
    <w:rsid w:val="00D319A7"/>
    <w:rsid w:val="00D365FD"/>
    <w:rsid w:val="00D85843"/>
    <w:rsid w:val="00D86BDD"/>
    <w:rsid w:val="00DD3C21"/>
    <w:rsid w:val="00E0200E"/>
    <w:rsid w:val="00E06CF3"/>
    <w:rsid w:val="00E44B51"/>
    <w:rsid w:val="00EB0277"/>
    <w:rsid w:val="00EE7F9C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906EE-0C0F-4365-AA58-44C45378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7</cp:revision>
  <cp:lastPrinted>2019-09-30T20:02:00Z</cp:lastPrinted>
  <dcterms:created xsi:type="dcterms:W3CDTF">2019-10-29T19:34:00Z</dcterms:created>
  <dcterms:modified xsi:type="dcterms:W3CDTF">2020-01-13T16:35:00Z</dcterms:modified>
</cp:coreProperties>
</file>