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68033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Agricultura Ganadería y Desarrollo Rural.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68033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Ing. Francisco Salazar Hernández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68033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julio—septiembre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68033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Agricultura Ganadería y Desarrollo Rural.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68033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Ing. Francisco Salazar Hernández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68033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julio—septiembre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4A5FC7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Pr="00212805" w:rsidRDefault="00832A3E" w:rsidP="004A5F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 xml:space="preserve">¿Cuáles fueron las acciones proyectadas (obras, proyectos o programas) o </w:t>
      </w:r>
      <w:r w:rsidR="00AC1596"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P</w:t>
      </w: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laneadas para este trimestre?</w:t>
      </w:r>
    </w:p>
    <w:p w:rsidR="00680335" w:rsidRPr="00212805" w:rsidRDefault="00680335" w:rsidP="004A5FC7">
      <w:pPr>
        <w:spacing w:after="0" w:line="360" w:lineRule="auto"/>
        <w:ind w:left="786" w:hanging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            </w:t>
      </w: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A.-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Gestión para lograr mayor cantidad de proyectos aprobados en las diferentes instituciones, federal, estatal y municipal para la obtención de recursos económicos y materiales enfocados en el sector agropecuario.</w:t>
      </w:r>
    </w:p>
    <w:p w:rsidR="00680335" w:rsidRPr="00212805" w:rsidRDefault="00680335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B.-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Reorganizar al sector ganadero a fin de apoyarlos en la gestión de proyectos económicos y materiales enfocados en el sector ganadero. </w:t>
      </w:r>
    </w:p>
    <w:p w:rsidR="00680335" w:rsidRPr="00212805" w:rsidRDefault="00680335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C.-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Incentivar a los pescadores para que se dé la funcionalidad de los Puntos Inocuos de Desembarque (PID) y apliquen las normas y reglas de inocuidad </w:t>
      </w:r>
      <w:r w:rsidR="00A3749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 la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Agencia de Sanidad e </w:t>
      </w:r>
      <w:r w:rsidR="00A3749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Inocuidad y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Calidad Alimentaria (ASICA).</w:t>
      </w:r>
    </w:p>
    <w:p w:rsidR="00680335" w:rsidRPr="00212805" w:rsidRDefault="00680335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D.-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Reorganizar al sector apícola a fin de que se adhieran a la ley de fomento apícola para su desarrollo y se concienticen sobre la importancia de adherirse a esta.</w:t>
      </w:r>
    </w:p>
    <w:p w:rsidR="00680335" w:rsidRPr="00212805" w:rsidRDefault="00680335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E.-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Gestión de recursos materiales enfocados en la vivienda logrando que la ciudadanía mejore su entorno familiar para un mejor bienestar.</w:t>
      </w:r>
    </w:p>
    <w:p w:rsidR="00680335" w:rsidRPr="00212805" w:rsidRDefault="00680335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F.-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Que mediante el módulo de maquinaria </w:t>
      </w:r>
      <w:r w:rsidR="009F28B4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el camino saca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cosechas, bordos, presas, </w:t>
      </w:r>
      <w:r w:rsidR="009F28B4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arroyos y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calles sean rehabilitados en todos los </w:t>
      </w:r>
      <w:r w:rsidR="009F28B4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ejidos, comunidades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indígenas y cabecera municipal.</w:t>
      </w:r>
    </w:p>
    <w:p w:rsidR="00680335" w:rsidRPr="00212805" w:rsidRDefault="00680335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G.-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Insistir de la importancia de la implementación de los pozos de </w:t>
      </w:r>
      <w:r w:rsidR="009F28B4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absorción en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los terrenos de cultivo para que los   acuíferos   sean reabastecidos en parte mediante estos.</w:t>
      </w:r>
    </w:p>
    <w:p w:rsidR="00944417" w:rsidRPr="00212805" w:rsidRDefault="00680335" w:rsidP="00212805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H.-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Abastecer de combustible a vehículos y maquinaria del módulo.</w:t>
      </w:r>
    </w:p>
    <w:p w:rsidR="00832A3E" w:rsidRPr="00212805" w:rsidRDefault="00832A3E" w:rsidP="004A5F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832A3E" w:rsidRPr="00212805" w:rsidRDefault="007619DA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Se apoyó en el programa. “Producción para el Bienestar” (anteriormente pro campo), en la identificación, organización e información de 97 productores agrícolas de l</w:t>
      </w:r>
      <w:r w:rsidR="00AE2CF4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os </w:t>
      </w:r>
      <w:r w:rsidR="00E24D30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diferentes ejidos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del municipio de Jocotepec y Ajijic </w:t>
      </w:r>
      <w:r w:rsidR="00AE2CF4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que fueron recategorizados a fin de que puedan ser integrados al mencionado programa. </w:t>
      </w:r>
      <w:r w:rsidR="00E24D30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Así también se apoyó en la organización de la información e informar a 57 productores de maíz que fueron beneficiados en el programa de SEGALMEX</w:t>
      </w:r>
      <w:r w:rsidR="00E24D30" w:rsidRPr="00AF0B65">
        <w:rPr>
          <w:rFonts w:ascii="Arial" w:eastAsia="Times New Roman" w:hAnsi="Arial" w:cs="Arial"/>
          <w:color w:val="000000"/>
          <w:lang w:eastAsia="es-MX"/>
        </w:rPr>
        <w:t xml:space="preserve"> para la entrega de fertilizante químico </w:t>
      </w:r>
      <w:r w:rsidR="00E24D30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 los ejidos de; El Molin</w:t>
      </w:r>
      <w:r w:rsidR="0043567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o, </w:t>
      </w:r>
      <w:r w:rsidR="004A5FC7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Huejotitán</w:t>
      </w:r>
      <w:r w:rsidR="0043567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, Zapotitán de Hgo,</w:t>
      </w:r>
      <w:r w:rsidR="00E24D30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Las Trojes, </w:t>
      </w:r>
      <w:r w:rsidR="00A86E8A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Potrerillos, San</w:t>
      </w:r>
      <w:r w:rsidR="00E24D30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A86E8A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Cristóbal</w:t>
      </w:r>
      <w:r w:rsidR="00E24D30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, San Pedro Tesistan, El Chante y Comunidad Indígena de San Juan Cosala.</w:t>
      </w:r>
      <w:r w:rsidR="007A7F5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Al igual se participó en la organización y difusión del programa estatal “ Nidos de Lluvia”</w:t>
      </w:r>
      <w:r w:rsidR="00F076EE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7A7F5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 los pobladores de Las Trojes, cabecera municipal de Jocotepec, Nex</w:t>
      </w:r>
      <w:r w:rsidR="00A86E8A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tipac y San Pedro T</w:t>
      </w:r>
      <w:r w:rsidR="007A7F5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esistán salien</w:t>
      </w:r>
      <w:r w:rsidR="00F76F5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do beneficiados 250 (de  450</w:t>
      </w:r>
      <w:r w:rsidR="002935C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solicitudes)</w:t>
      </w:r>
      <w:r w:rsidR="00F76F5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familias</w:t>
      </w:r>
      <w:r w:rsidR="00F076EE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, </w:t>
      </w:r>
      <w:r w:rsidR="002935C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con un costo</w:t>
      </w:r>
      <w:r w:rsidR="00F76F5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de $ 20,500.00 pesos cada uno de los nidos de lluvia lo que incluye cisterna de 2500 lts, tubería alrededor del techo que captará agua de lluvia y conducción a la cisterna, bomba, filtro (</w:t>
      </w:r>
      <w:r w:rsidR="002935C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Tláloc), manguera y cable de luz</w:t>
      </w:r>
      <w:r w:rsidR="00F76F5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2935C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l</w:t>
      </w:r>
      <w:r w:rsidR="00F76F5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o q</w:t>
      </w:r>
      <w:r w:rsidR="002935C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ue represento</w:t>
      </w:r>
      <w:r w:rsidR="009623B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la cantidad de 5</w:t>
      </w:r>
      <w:r w:rsidR="004144C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´</w:t>
      </w:r>
      <w:r w:rsidR="00F76F5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125,000 pesos</w:t>
      </w:r>
      <w:r w:rsidR="0043567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por el total de las 250 nidos.</w:t>
      </w:r>
    </w:p>
    <w:p w:rsidR="002935C2" w:rsidRPr="00212805" w:rsidRDefault="002935C2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Se participó en la organización y difusión </w:t>
      </w:r>
      <w:r w:rsidR="00A86E8A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del evento realizado en el Malecón Municipal de  los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programas de SADER Jalisco en donde salieron beneficiados 49 productores en las siguientes vocaciones productivas;  </w:t>
      </w:r>
      <w:r w:rsidR="00A86E8A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Acuícola y pesquero 8 personas con un monto de $ 280,350.00 pesos, Insumos 30 productores con un monto de $ </w:t>
      </w:r>
      <w:r w:rsidR="009623B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364,500.00 pesos, Apicultura 5 apicultores con un monto de $ 350,730.00 pesos, Casa ejidales 1 casa ejidal de Huejotitán con un monto de $ 250,000.00 pesos, Jóvenes Herederos 1 con un monto de $ 200,000.00 pesos, Maquinaria 2 productores con un monto de 275,100.00 pesos, Pecuario 1 ganadero con un monto de $ 64, 190.00 pesos, Silvopastoril 1 beneficiado con un monto de $ 24,700.00 pesos lo que </w:t>
      </w:r>
      <w:r w:rsidR="004144C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dio</w:t>
      </w:r>
      <w:r w:rsidR="009623B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una derrama total de $ 1´ </w:t>
      </w:r>
      <w:r w:rsidR="004144C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809,570.00 pesos.</w:t>
      </w:r>
    </w:p>
    <w:p w:rsidR="004144C2" w:rsidRPr="00212805" w:rsidRDefault="004144C2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Se participó en la organización del evento realizado en el Malecón municipal </w:t>
      </w:r>
      <w:r w:rsidR="0043567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 la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entrega de; títulos de propiedad, certificados y documentos agrarios a   233 </w:t>
      </w:r>
      <w:r w:rsidR="0043567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ejidatarios del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43567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municipio donde</w:t>
      </w:r>
      <w:r w:rsidR="00775A8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estaban incluidos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; San </w:t>
      </w:r>
      <w:r w:rsidR="00775A8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Cristóbal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Zapotitlán, </w:t>
      </w:r>
      <w:r w:rsidR="00775A8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El Chante, El Molino, El </w:t>
      </w:r>
      <w:r w:rsidR="00775A8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lastRenderedPageBreak/>
        <w:t>Sauz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,</w:t>
      </w:r>
      <w:r w:rsidR="00775A8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Huejotitán, Jocotepec, La Loma, Las Trojes, </w:t>
      </w:r>
      <w:r w:rsidR="007A6497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Ne</w:t>
      </w:r>
      <w:r w:rsidR="00775A83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xtipac, Potrerillos, San Luciano, San Martín y San Pedro Tesistán gestión realizada por el municipio atreves del Síndico municipal ante el Registro Agrario Nacional (RAN). </w:t>
      </w:r>
    </w:p>
    <w:p w:rsidR="009B3CAB" w:rsidRPr="00212805" w:rsidRDefault="00775A83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Se recabó la información y realizó la solicitud ante la SADER Jalisco de apoyo económico a productores de maíz que se vieron afectados por </w:t>
      </w:r>
      <w:r w:rsidR="009B3CA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sequía, a fin de que se imple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mente un programa </w:t>
      </w:r>
      <w:r w:rsidR="009B3CA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 emergencia para estos productores en más de 2 mil hectáreas en todos los ejidos del municipio.</w:t>
      </w:r>
    </w:p>
    <w:p w:rsidR="00584EC8" w:rsidRPr="00212805" w:rsidRDefault="00584EC8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En cada una de las reuniones de Consejo Municipal de Desarrollo Rural Sustentable se hace la invitación a las cooperativas de pescadores pongan en funcionamiento el vehículo (camioneta con cámara de refrigeración), entregado en comodato por la SADER para el traslado de su pesca.</w:t>
      </w:r>
    </w:p>
    <w:p w:rsidR="00441868" w:rsidRPr="00212805" w:rsidRDefault="00584EC8" w:rsidP="00212805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Al igual que el punto anterior en cada reunión mensual de Consejo se hace énfasis a los productores de cultivos básicos, frambuesa y zarzamora el que aprovechen el programa de </w:t>
      </w:r>
      <w:r w:rsidR="0044186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SADER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para la apertura de pozos de absorción en sus </w:t>
      </w:r>
      <w:r w:rsidR="0044186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parcelas a fin de que los   acuíferos   sean reabastecidos en parte mediante estos.</w:t>
      </w:r>
    </w:p>
    <w:p w:rsidR="009B3CAB" w:rsidRPr="00212805" w:rsidRDefault="00584EC8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9B3CA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Se continuó con el trámite de credenciales a ganaderos entregando </w:t>
      </w:r>
      <w:r w:rsidR="009A411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12 de </w:t>
      </w:r>
      <w:r w:rsidR="00772852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ellas, se</w:t>
      </w:r>
      <w:r w:rsidR="009B3CA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9A411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realizó</w:t>
      </w:r>
      <w:r w:rsidR="009B3CA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la gestoría de 7 credenciales solicitadas y se recibieron 6 expedientes más para su trámite.</w:t>
      </w:r>
    </w:p>
    <w:p w:rsidR="009B3CAB" w:rsidRPr="00212805" w:rsidRDefault="009B3CAB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Se logró el beneficio de 15 familias</w:t>
      </w:r>
      <w:r w:rsidR="004A5FC7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,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al realizar la gestión para que adquirieran a un precio especial 13 tinaco de 1100 lts y 2 cisternas </w:t>
      </w:r>
      <w:r w:rsidR="009A4118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de distintas capacidades, ahora ya directamente con la empresa Rotoplás.</w:t>
      </w:r>
    </w:p>
    <w:p w:rsidR="009A4118" w:rsidRPr="00212805" w:rsidRDefault="009A4118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Se </w:t>
      </w:r>
      <w:r w:rsidR="00683936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obtuvo el beneficio para 7 familias al realizar el trámite de calentadores solares con la empresa Solaris que se tiene convenio a fin de que se otorgue un precio especial con un ahorro desde un 30</w:t>
      </w:r>
      <w:r w:rsidR="004A5FC7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%</w:t>
      </w:r>
      <w:r w:rsidR="00683936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a 40% menor en comparación del precio del mercado en este y anterior programa.</w:t>
      </w:r>
    </w:p>
    <w:p w:rsidR="0018629F" w:rsidRPr="00212805" w:rsidRDefault="00683936" w:rsidP="004A5FC7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Se lanzó la convocatoria para la adquisición de láminas de </w:t>
      </w:r>
      <w:r w:rsidR="0018629F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fibrocemento con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la Institución </w:t>
      </w:r>
      <w:r w:rsidR="0018629F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“Ecos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de Ayuda” mediante el programa </w:t>
      </w:r>
      <w:r w:rsidR="0018629F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“Techo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18629F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Digno” con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un</w:t>
      </w:r>
      <w:r w:rsidR="0018629F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a vigencia  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del 13 de septiembre al 12 de octubre</w:t>
      </w:r>
      <w:r w:rsidR="0018629F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:rsidR="00944417" w:rsidRPr="00212805" w:rsidRDefault="009F28B4" w:rsidP="00212805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Con el apoyo del “Módulo de </w:t>
      </w:r>
      <w:r w:rsidR="004A5FC7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maquinaria “y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de acuerdo con lo programado se continuó con el primer bloque en la Delegación de San Cristóbal </w:t>
      </w:r>
      <w:r w:rsidR="0001118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por lo que 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se rehabilitar</w:t>
      </w:r>
      <w:r w:rsidR="0001118B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on las siguientes calles; San Alejandro con 400 mts, Av. Del Trabajo </w:t>
      </w:r>
      <w:r w:rsidR="001B160D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200 mts, </w:t>
      </w:r>
      <w:r w:rsidR="00D40B3E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carretera a Guadalajara 100mts, Sta. Beatriz 100 mts, En la delegación de San Pedro se realizó lo siguiente; camino a los ciruelos 500 mts, y 4 calles s/n. de 300 mts. cada una, Camino al Monasterio 18</w:t>
      </w:r>
      <w:r w:rsidR="004A5FC7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km y en</w:t>
      </w:r>
      <w:r w:rsidR="00D40B3E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Jocotepec:  se intervinieron las siguientes calles; Vicente Guerrero, 100 mts.  Colon 100 mts, Lázaro Cárdenas 200 mts. Francisco Villa 50 mts, Iturbide 50 </w:t>
      </w:r>
      <w:r w:rsidR="00DD0DC1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mts. Calle Magisterial 100 mts.</w:t>
      </w:r>
      <w:r w:rsidR="00D40B3E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La Loma</w:t>
      </w:r>
      <w:r w:rsidR="00DD0DC1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calle Chapultepec 800 mts.  Ejido Jocotepec: Camino Real 1,600 mts, camino a San Martín 800 mts.</w:t>
      </w:r>
      <w:r w:rsidR="00D40B3E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</w:t>
      </w:r>
    </w:p>
    <w:p w:rsidR="00832A3E" w:rsidRPr="00212805" w:rsidRDefault="00832A3E" w:rsidP="004A5F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Montos (si los hubiera) del desarrollo de dichas actividades. ¿Se ajustó a lo presupuestado?</w:t>
      </w:r>
    </w:p>
    <w:p w:rsidR="00944417" w:rsidRPr="00212805" w:rsidRDefault="00772852" w:rsidP="00212805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Si fue suficiente</w:t>
      </w:r>
    </w:p>
    <w:p w:rsidR="008615CA" w:rsidRPr="00212805" w:rsidRDefault="00832A3E" w:rsidP="004A5F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En que beneficia a la población o un grupo en específico lo desarrollado en este trimestre</w:t>
      </w:r>
      <w:r w:rsidR="00AC1596"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.</w:t>
      </w:r>
    </w:p>
    <w:p w:rsidR="003D5BC1" w:rsidRPr="00212805" w:rsidRDefault="003D5BC1" w:rsidP="00AF0B65">
      <w:pPr>
        <w:spacing w:after="0" w:line="360" w:lineRule="auto"/>
        <w:ind w:left="284" w:firstLine="567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A la población en general y específicamente a los </w:t>
      </w:r>
      <w:r w:rsidR="000E78CC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productores de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las diferentes áreas que</w:t>
      </w:r>
    </w:p>
    <w:p w:rsidR="003D5BC1" w:rsidRPr="00212805" w:rsidRDefault="003D5BC1" w:rsidP="00AF0B65">
      <w:pPr>
        <w:spacing w:after="0" w:line="360" w:lineRule="auto"/>
        <w:ind w:left="709" w:firstLine="142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atiende esta dirección, resultan beneficiados en su economía al adquirir apoyos económicos</w:t>
      </w:r>
    </w:p>
    <w:p w:rsidR="003D5BC1" w:rsidRPr="00212805" w:rsidRDefault="003D5BC1" w:rsidP="00AF0B6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mediante los programas ofertados por los gobiernos Federal Estatal y Municipal, así como</w:t>
      </w:r>
    </w:p>
    <w:p w:rsidR="003D5BC1" w:rsidRPr="00212805" w:rsidRDefault="003D5BC1" w:rsidP="00AF0B65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adquirir materiales y servicios mediante los convenios con el gobierno municipal y empresas</w:t>
      </w:r>
    </w:p>
    <w:p w:rsidR="003D5BC1" w:rsidRPr="00212805" w:rsidRDefault="003D5BC1" w:rsidP="00AF0B65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privadas a costos inferiores de mercado, al igual se logra el beneficio de incrementar su</w:t>
      </w:r>
    </w:p>
    <w:p w:rsidR="00944417" w:rsidRPr="00212805" w:rsidRDefault="003D5BC1" w:rsidP="00212805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producción reflejándose en su bienestar social y salud física y moral</w:t>
      </w:r>
      <w:r w:rsidR="004A5FC7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:rsidR="00832A3E" w:rsidRPr="00212805" w:rsidRDefault="0043418C" w:rsidP="004A5F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¿A qué programa</w:t>
      </w:r>
      <w:r w:rsidR="00832A3E"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 xml:space="preserve"> de su POA pertenecen las acciones realizadas y a que Ejes del Plan M</w:t>
      </w:r>
      <w:r w:rsidR="008D7641"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unicipal de Desarrollo 2021</w:t>
      </w:r>
      <w:r w:rsidR="007639AF"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-2024</w:t>
      </w:r>
      <w:r w:rsidR="00832A3E"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 xml:space="preserve"> se alinean?</w:t>
      </w:r>
    </w:p>
    <w:p w:rsidR="003D5BC1" w:rsidRPr="00212805" w:rsidRDefault="003D5BC1" w:rsidP="00AF0B6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Gestión de recursos económicos y </w:t>
      </w:r>
      <w:r w:rsidR="00081275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materiales enfocados</w:t>
      </w: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en el campo.</w:t>
      </w:r>
    </w:p>
    <w:p w:rsidR="003D5BC1" w:rsidRPr="00212805" w:rsidRDefault="003D5BC1" w:rsidP="00AF0B6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Reorganizar al sector ganadero a fin de apoyarlos en la gestión de proyectos económicos y materiales enfocados en el sector agropecuario.</w:t>
      </w:r>
    </w:p>
    <w:p w:rsidR="003D5BC1" w:rsidRPr="00212805" w:rsidRDefault="003D5BC1" w:rsidP="00AF0B6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Establecimiento y funcionalidad de los Puntos Inocuos de desembarque (PID).</w:t>
      </w:r>
    </w:p>
    <w:p w:rsidR="003D5BC1" w:rsidRPr="00212805" w:rsidRDefault="003D5BC1" w:rsidP="00AF0B6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Reorganización del sector apícola a fin de que se adhieran a la ley de fomento apícola para que sean sujetos de apoyo en los programas de SADER.</w:t>
      </w:r>
    </w:p>
    <w:p w:rsidR="003D5BC1" w:rsidRPr="00212805" w:rsidRDefault="003D5BC1" w:rsidP="00AF0B6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Gestión de recursos materiales enfocados en la vivienda.</w:t>
      </w:r>
    </w:p>
    <w:p w:rsidR="003D5BC1" w:rsidRPr="00212805" w:rsidRDefault="003D5BC1" w:rsidP="00AF0B6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Módulo de maquinaria.</w:t>
      </w:r>
    </w:p>
    <w:p w:rsidR="003D5BC1" w:rsidRPr="00212805" w:rsidRDefault="003D5BC1" w:rsidP="00AF0B6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Pozos de absorción.</w:t>
      </w:r>
    </w:p>
    <w:p w:rsidR="003D5BC1" w:rsidRPr="00212805" w:rsidRDefault="003D5BC1" w:rsidP="00AF0B6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Combustible para maquinaria del módulo.</w:t>
      </w:r>
    </w:p>
    <w:p w:rsidR="008D7641" w:rsidRPr="00212805" w:rsidRDefault="004A5FC7" w:rsidP="00212805">
      <w:pPr>
        <w:pStyle w:val="Prrafodelista"/>
        <w:numPr>
          <w:ilvl w:val="0"/>
          <w:numId w:val="11"/>
        </w:numPr>
        <w:spacing w:after="0" w:line="360" w:lineRule="auto"/>
        <w:ind w:left="1134" w:hanging="283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lastRenderedPageBreak/>
        <w:t xml:space="preserve">Mantenimiento de </w:t>
      </w:r>
      <w:r w:rsidR="00081275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maquinaria del módulo</w:t>
      </w:r>
      <w:r w:rsidR="00AA4294" w:rsidRPr="0021280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       </w:t>
      </w:r>
    </w:p>
    <w:p w:rsidR="00A842E3" w:rsidRPr="00212805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</w:pPr>
      <w:r w:rsidRPr="00212805">
        <w:rPr>
          <w:rFonts w:ascii="Arial" w:eastAsia="Times New Roman" w:hAnsi="Arial" w:cs="Arial"/>
          <w:b/>
          <w:color w:val="000000"/>
          <w:sz w:val="16"/>
          <w:szCs w:val="16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148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1417"/>
        <w:gridCol w:w="1843"/>
        <w:gridCol w:w="1417"/>
      </w:tblGrid>
      <w:tr w:rsidR="005A30D3" w:rsidTr="00212805">
        <w:tc>
          <w:tcPr>
            <w:tcW w:w="709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4253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212805">
        <w:tc>
          <w:tcPr>
            <w:tcW w:w="709" w:type="dxa"/>
          </w:tcPr>
          <w:p w:rsidR="00807BB5" w:rsidRPr="0021280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944417" w:rsidRPr="00212805" w:rsidRDefault="003D5BC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253" w:type="dxa"/>
          </w:tcPr>
          <w:p w:rsidR="00807BB5" w:rsidRPr="00212805" w:rsidRDefault="003D5BC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Gestión de recursos económicos y materiales  enfocados en el campo</w:t>
            </w:r>
          </w:p>
        </w:tc>
        <w:tc>
          <w:tcPr>
            <w:tcW w:w="1843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807BB5" w:rsidRDefault="003D5BC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07BB5" w:rsidRDefault="003D5BC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21280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212805">
        <w:tc>
          <w:tcPr>
            <w:tcW w:w="709" w:type="dxa"/>
          </w:tcPr>
          <w:p w:rsidR="008D7641" w:rsidRPr="00212805" w:rsidRDefault="003D5BC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253" w:type="dxa"/>
          </w:tcPr>
          <w:p w:rsidR="003D5BC1" w:rsidRPr="00212805" w:rsidRDefault="003D5BC1" w:rsidP="003D5BC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Reorganizar al sector ganadero a fin de apoyarlos en la gestión de proyectos económicos y materiales enfocados en el sector agropecuario.</w:t>
            </w:r>
          </w:p>
          <w:p w:rsidR="008D7641" w:rsidRPr="00212805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8D7641" w:rsidRDefault="003D5BC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843" w:type="dxa"/>
          </w:tcPr>
          <w:p w:rsidR="008D7641" w:rsidRDefault="003D5BC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417" w:type="dxa"/>
          </w:tcPr>
          <w:p w:rsidR="008D7641" w:rsidRDefault="0021280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40AD7" w:rsidTr="00212805">
        <w:tc>
          <w:tcPr>
            <w:tcW w:w="709" w:type="dxa"/>
          </w:tcPr>
          <w:p w:rsidR="00540AD7" w:rsidRPr="00212805" w:rsidRDefault="003D5BC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253" w:type="dxa"/>
          </w:tcPr>
          <w:p w:rsidR="003D5BC1" w:rsidRPr="00212805" w:rsidRDefault="003D5BC1" w:rsidP="003D5BC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Establecimiento y funcionalidad de los Puntos Inocuos de desembarque (PID).</w:t>
            </w:r>
          </w:p>
          <w:p w:rsidR="00540AD7" w:rsidRPr="00212805" w:rsidRDefault="00540A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540AD7" w:rsidRDefault="003D5BC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540AD7" w:rsidRDefault="003D5BC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540AD7" w:rsidRDefault="0021280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D7641" w:rsidTr="00212805">
        <w:trPr>
          <w:trHeight w:val="1121"/>
        </w:trPr>
        <w:tc>
          <w:tcPr>
            <w:tcW w:w="709" w:type="dxa"/>
          </w:tcPr>
          <w:p w:rsidR="008D7641" w:rsidRPr="00212805" w:rsidRDefault="003D5BC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253" w:type="dxa"/>
          </w:tcPr>
          <w:p w:rsidR="003D5BC1" w:rsidRPr="00212805" w:rsidRDefault="003D5BC1" w:rsidP="003D5BC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Reorganización del sector apícola a fin de que se adhieran a la ley de fomento apícola para que sean sujetos de apoyo en los programas de SADER.</w:t>
            </w:r>
          </w:p>
          <w:p w:rsidR="008D7641" w:rsidRPr="00212805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8D7641" w:rsidRDefault="003D5BC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8D7641" w:rsidRDefault="003D5BC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21280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212805">
        <w:trPr>
          <w:trHeight w:val="1000"/>
        </w:trPr>
        <w:tc>
          <w:tcPr>
            <w:tcW w:w="709" w:type="dxa"/>
          </w:tcPr>
          <w:p w:rsidR="008D7641" w:rsidRPr="00212805" w:rsidRDefault="00BF5E99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253" w:type="dxa"/>
          </w:tcPr>
          <w:p w:rsidR="008D7641" w:rsidRPr="00212805" w:rsidRDefault="00BF5E99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Gestión de recursos materiales enfocados en la vivienda..</w:t>
            </w:r>
          </w:p>
        </w:tc>
        <w:tc>
          <w:tcPr>
            <w:tcW w:w="1843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8D7641" w:rsidRDefault="00BF5E9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Default="00BF5E9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D7641" w:rsidRDefault="0021280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  <w:p w:rsidR="003D5BC1" w:rsidRDefault="003D5BC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D5BC1" w:rsidRDefault="003D5BC1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3D5BC1" w:rsidTr="00212805">
        <w:trPr>
          <w:trHeight w:val="842"/>
        </w:trPr>
        <w:tc>
          <w:tcPr>
            <w:tcW w:w="709" w:type="dxa"/>
          </w:tcPr>
          <w:p w:rsidR="003D5BC1" w:rsidRPr="00212805" w:rsidRDefault="00BF5E99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  <w:p w:rsidR="003D5BC1" w:rsidRPr="00212805" w:rsidRDefault="003D5BC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3" w:type="dxa"/>
          </w:tcPr>
          <w:p w:rsidR="003D5BC1" w:rsidRPr="00212805" w:rsidRDefault="00BF5E99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Módulo de maquinaria</w:t>
            </w:r>
          </w:p>
        </w:tc>
        <w:tc>
          <w:tcPr>
            <w:tcW w:w="1843" w:type="dxa"/>
          </w:tcPr>
          <w:p w:rsidR="003D5BC1" w:rsidRDefault="003D5BC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3D5BC1" w:rsidRDefault="00BF5E9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3D5BC1" w:rsidRDefault="00BF5E9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3D5BC1" w:rsidRDefault="0021280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  <w:p w:rsidR="003D5BC1" w:rsidRDefault="003D5BC1" w:rsidP="003D5BC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F5E99" w:rsidTr="00212805">
        <w:trPr>
          <w:trHeight w:val="842"/>
        </w:trPr>
        <w:tc>
          <w:tcPr>
            <w:tcW w:w="709" w:type="dxa"/>
          </w:tcPr>
          <w:p w:rsidR="00BF5E99" w:rsidRPr="00212805" w:rsidRDefault="00BF5E99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  <w:p w:rsidR="00BF5E99" w:rsidRPr="00212805" w:rsidRDefault="00BF5E99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3" w:type="dxa"/>
          </w:tcPr>
          <w:p w:rsidR="00BF5E99" w:rsidRPr="00212805" w:rsidRDefault="00BF5E99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Pozos de absorción</w:t>
            </w:r>
          </w:p>
        </w:tc>
        <w:tc>
          <w:tcPr>
            <w:tcW w:w="1843" w:type="dxa"/>
          </w:tcPr>
          <w:p w:rsidR="00BF5E99" w:rsidRDefault="00BF5E9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BF5E99" w:rsidRDefault="00BF5E9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BF5E99" w:rsidRDefault="00BF5E99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BF5E99" w:rsidRDefault="00212805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F5E99" w:rsidTr="00212805">
        <w:trPr>
          <w:trHeight w:val="70"/>
        </w:trPr>
        <w:tc>
          <w:tcPr>
            <w:tcW w:w="709" w:type="dxa"/>
          </w:tcPr>
          <w:p w:rsidR="00BF5E99" w:rsidRPr="00212805" w:rsidRDefault="00BF5E99" w:rsidP="00BF5E99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BF5E99" w:rsidRPr="00212805" w:rsidRDefault="00BF5E99" w:rsidP="00BF5E99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  <w:p w:rsidR="00BF5E99" w:rsidRPr="00212805" w:rsidRDefault="00BF5E99" w:rsidP="00BF5E99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BF5E99" w:rsidRPr="00212805" w:rsidRDefault="00BF5E99" w:rsidP="00BF5E99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3" w:type="dxa"/>
          </w:tcPr>
          <w:p w:rsidR="00BF5E99" w:rsidRPr="00212805" w:rsidRDefault="009E65E4" w:rsidP="009E65E4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Combustible para Maquinaria del Módulo.</w:t>
            </w:r>
          </w:p>
        </w:tc>
        <w:tc>
          <w:tcPr>
            <w:tcW w:w="1843" w:type="dxa"/>
          </w:tcPr>
          <w:p w:rsidR="00BF5E99" w:rsidRDefault="00BF5E99" w:rsidP="00BF5E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BF5E99" w:rsidRDefault="009E65E4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BF5E99" w:rsidRDefault="009E65E4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BF5E99" w:rsidRDefault="00212805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F5E99" w:rsidTr="00212805">
        <w:trPr>
          <w:trHeight w:val="620"/>
        </w:trPr>
        <w:tc>
          <w:tcPr>
            <w:tcW w:w="709" w:type="dxa"/>
          </w:tcPr>
          <w:p w:rsidR="00BF5E99" w:rsidRPr="00212805" w:rsidRDefault="00BF5E99" w:rsidP="00BF5E99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:rsidR="00BF5E99" w:rsidRPr="00212805" w:rsidRDefault="00BF5E99" w:rsidP="00BF5E99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  <w:p w:rsidR="00BF5E99" w:rsidRPr="00212805" w:rsidRDefault="00BF5E99" w:rsidP="00BF5E99">
            <w:pPr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53" w:type="dxa"/>
          </w:tcPr>
          <w:p w:rsidR="00BF5E99" w:rsidRPr="00212805" w:rsidRDefault="000E78CC" w:rsidP="00BF5E9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12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Mantenimiento de   maquinaria del módulo</w:t>
            </w:r>
          </w:p>
        </w:tc>
        <w:tc>
          <w:tcPr>
            <w:tcW w:w="1843" w:type="dxa"/>
          </w:tcPr>
          <w:p w:rsidR="00BF5E99" w:rsidRDefault="00BF5E99" w:rsidP="00BF5E9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</w:tcPr>
          <w:p w:rsidR="00BF5E99" w:rsidRDefault="000E78CC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BF5E99" w:rsidRDefault="000E78CC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</w:tcPr>
          <w:p w:rsidR="00BF5E99" w:rsidRDefault="00212805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F5E99" w:rsidRPr="001C62B7" w:rsidTr="00212805">
        <w:tc>
          <w:tcPr>
            <w:tcW w:w="709" w:type="dxa"/>
            <w:shd w:val="clear" w:color="auto" w:fill="FABF8F" w:themeFill="accent6" w:themeFillTint="99"/>
          </w:tcPr>
          <w:p w:rsidR="00BF5E99" w:rsidRPr="001C62B7" w:rsidRDefault="00BF5E99" w:rsidP="00BF5E99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53" w:type="dxa"/>
            <w:shd w:val="clear" w:color="auto" w:fill="FABF8F" w:themeFill="accent6" w:themeFillTint="99"/>
          </w:tcPr>
          <w:p w:rsidR="00BF5E99" w:rsidRPr="001C62B7" w:rsidRDefault="00BF5E99" w:rsidP="00BF5E99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BF5E99" w:rsidRPr="001C62B7" w:rsidRDefault="00BF5E99" w:rsidP="00BF5E99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BF5E99" w:rsidRPr="001C62B7" w:rsidRDefault="00BF5E99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BF5E99" w:rsidRPr="001C62B7" w:rsidRDefault="00BF5E99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BF5E99" w:rsidRPr="001C62B7" w:rsidRDefault="00212805" w:rsidP="00BF5E9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97%</w:t>
            </w:r>
            <w:bookmarkStart w:id="0" w:name="_GoBack"/>
            <w:bookmarkEnd w:id="0"/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F37D0E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778" w:rsidRDefault="00613778" w:rsidP="005F2963">
      <w:pPr>
        <w:spacing w:after="0" w:line="240" w:lineRule="auto"/>
      </w:pPr>
      <w:r>
        <w:separator/>
      </w:r>
    </w:p>
  </w:endnote>
  <w:endnote w:type="continuationSeparator" w:id="0">
    <w:p w:rsidR="00613778" w:rsidRDefault="0061377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778" w:rsidRDefault="00613778" w:rsidP="005F2963">
      <w:pPr>
        <w:spacing w:after="0" w:line="240" w:lineRule="auto"/>
      </w:pPr>
      <w:r>
        <w:separator/>
      </w:r>
    </w:p>
  </w:footnote>
  <w:footnote w:type="continuationSeparator" w:id="0">
    <w:p w:rsidR="00613778" w:rsidRDefault="0061377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11A4"/>
    <w:multiLevelType w:val="hybridMultilevel"/>
    <w:tmpl w:val="F8429218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118B"/>
    <w:rsid w:val="0001438A"/>
    <w:rsid w:val="00026D67"/>
    <w:rsid w:val="000440E2"/>
    <w:rsid w:val="00062A99"/>
    <w:rsid w:val="00081275"/>
    <w:rsid w:val="000D31DF"/>
    <w:rsid w:val="000D7FA1"/>
    <w:rsid w:val="000E78CC"/>
    <w:rsid w:val="001015EA"/>
    <w:rsid w:val="001439AE"/>
    <w:rsid w:val="00176E9A"/>
    <w:rsid w:val="001842E1"/>
    <w:rsid w:val="00185CE5"/>
    <w:rsid w:val="0018629F"/>
    <w:rsid w:val="001B160D"/>
    <w:rsid w:val="001C62B7"/>
    <w:rsid w:val="001D70D0"/>
    <w:rsid w:val="00212805"/>
    <w:rsid w:val="0022271F"/>
    <w:rsid w:val="002252BB"/>
    <w:rsid w:val="00263B61"/>
    <w:rsid w:val="00280493"/>
    <w:rsid w:val="002858D4"/>
    <w:rsid w:val="002935C2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D5BC1"/>
    <w:rsid w:val="003F0129"/>
    <w:rsid w:val="003F5A4D"/>
    <w:rsid w:val="004144C2"/>
    <w:rsid w:val="0043418C"/>
    <w:rsid w:val="00435678"/>
    <w:rsid w:val="00437753"/>
    <w:rsid w:val="0044034D"/>
    <w:rsid w:val="00441868"/>
    <w:rsid w:val="0046693A"/>
    <w:rsid w:val="004A5FC7"/>
    <w:rsid w:val="004C362F"/>
    <w:rsid w:val="004E293C"/>
    <w:rsid w:val="00512CDD"/>
    <w:rsid w:val="0053024C"/>
    <w:rsid w:val="0053212A"/>
    <w:rsid w:val="005363A2"/>
    <w:rsid w:val="00540AD7"/>
    <w:rsid w:val="0054149E"/>
    <w:rsid w:val="00574387"/>
    <w:rsid w:val="00584EC8"/>
    <w:rsid w:val="005A0969"/>
    <w:rsid w:val="005A30D3"/>
    <w:rsid w:val="005A3A17"/>
    <w:rsid w:val="005C1B11"/>
    <w:rsid w:val="005F2963"/>
    <w:rsid w:val="00613778"/>
    <w:rsid w:val="00630632"/>
    <w:rsid w:val="00657B6D"/>
    <w:rsid w:val="00664597"/>
    <w:rsid w:val="00680335"/>
    <w:rsid w:val="00683936"/>
    <w:rsid w:val="00683EFC"/>
    <w:rsid w:val="00684126"/>
    <w:rsid w:val="006869E3"/>
    <w:rsid w:val="00697EA5"/>
    <w:rsid w:val="006A4848"/>
    <w:rsid w:val="006E3AEA"/>
    <w:rsid w:val="006F52E5"/>
    <w:rsid w:val="007107BC"/>
    <w:rsid w:val="00750F59"/>
    <w:rsid w:val="007619DA"/>
    <w:rsid w:val="007639AF"/>
    <w:rsid w:val="0076605E"/>
    <w:rsid w:val="00772852"/>
    <w:rsid w:val="00775A83"/>
    <w:rsid w:val="007A6497"/>
    <w:rsid w:val="007A7F53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61368"/>
    <w:rsid w:val="009623B8"/>
    <w:rsid w:val="009A4118"/>
    <w:rsid w:val="009B1596"/>
    <w:rsid w:val="009B3CAB"/>
    <w:rsid w:val="009C3625"/>
    <w:rsid w:val="009D3D60"/>
    <w:rsid w:val="009E65E4"/>
    <w:rsid w:val="009F28B4"/>
    <w:rsid w:val="00A37498"/>
    <w:rsid w:val="00A551BF"/>
    <w:rsid w:val="00A6538A"/>
    <w:rsid w:val="00A659CC"/>
    <w:rsid w:val="00A82C8D"/>
    <w:rsid w:val="00A842E3"/>
    <w:rsid w:val="00A86E8A"/>
    <w:rsid w:val="00AA4294"/>
    <w:rsid w:val="00AC1596"/>
    <w:rsid w:val="00AE2CF4"/>
    <w:rsid w:val="00AF0B65"/>
    <w:rsid w:val="00B3353E"/>
    <w:rsid w:val="00B5082D"/>
    <w:rsid w:val="00B63521"/>
    <w:rsid w:val="00B92E83"/>
    <w:rsid w:val="00BB1F7B"/>
    <w:rsid w:val="00BD7E67"/>
    <w:rsid w:val="00BF5E99"/>
    <w:rsid w:val="00C0373E"/>
    <w:rsid w:val="00C110B1"/>
    <w:rsid w:val="00CA05FC"/>
    <w:rsid w:val="00CC2126"/>
    <w:rsid w:val="00CC7E46"/>
    <w:rsid w:val="00CE004A"/>
    <w:rsid w:val="00CE7E7C"/>
    <w:rsid w:val="00D05699"/>
    <w:rsid w:val="00D319A7"/>
    <w:rsid w:val="00D365FD"/>
    <w:rsid w:val="00D40B3E"/>
    <w:rsid w:val="00D504AB"/>
    <w:rsid w:val="00D762D3"/>
    <w:rsid w:val="00D85843"/>
    <w:rsid w:val="00DD0DC1"/>
    <w:rsid w:val="00DD3C21"/>
    <w:rsid w:val="00E119BE"/>
    <w:rsid w:val="00E24D30"/>
    <w:rsid w:val="00E44B51"/>
    <w:rsid w:val="00E6170C"/>
    <w:rsid w:val="00EF0820"/>
    <w:rsid w:val="00F076EE"/>
    <w:rsid w:val="00F37D0E"/>
    <w:rsid w:val="00F76F5B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4E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E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E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E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E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62E0-30F6-4971-8EE0-71365450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1413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2023-10-06T19:22:00Z</cp:lastPrinted>
  <dcterms:created xsi:type="dcterms:W3CDTF">2023-10-17T14:40:00Z</dcterms:created>
  <dcterms:modified xsi:type="dcterms:W3CDTF">2023-10-17T15:15:00Z</dcterms:modified>
</cp:coreProperties>
</file>