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39166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margin">
                  <wp:posOffset>1901190</wp:posOffset>
                </wp:positionH>
                <wp:positionV relativeFrom="paragraph">
                  <wp:posOffset>13970</wp:posOffset>
                </wp:positionV>
                <wp:extent cx="2243455" cy="1609725"/>
                <wp:effectExtent l="0" t="0" r="317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5E160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Agricultura Ganadería y Desarrollo Rural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E160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Francisco Salazar Hernández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E160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Octubre- Diciembre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9.7pt;margin-top:1.1pt;width:176.65pt;height:126.75pt;z-index:25166950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8Q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5E160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Agricultura Ganadería y Desarrollo Rural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E160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Francisco Salazar Hernández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E160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Octubre- Diciembre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1918970</wp:posOffset>
                </wp:positionH>
                <wp:positionV relativeFrom="paragraph">
                  <wp:posOffset>-396240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1.1pt;margin-top:-31.2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 w:rsidR="007639AF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7440CF" w:rsidRDefault="007440CF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7E2E2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7E2E25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7E2E25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5E1609" w:rsidRPr="007E2E25" w:rsidRDefault="00082E91" w:rsidP="005E1609">
      <w:pPr>
        <w:pStyle w:val="Prrafodelista"/>
        <w:spacing w:after="0" w:line="360" w:lineRule="auto"/>
        <w:ind w:left="360"/>
        <w:rPr>
          <w:rFonts w:ascii="Arial" w:hAnsi="Arial" w:cs="Arial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</w:t>
      </w:r>
      <w:r w:rsidR="007E2E25">
        <w:rPr>
          <w:rFonts w:ascii="Arial Narrow" w:hAnsi="Arial Narrow"/>
          <w:b/>
          <w:color w:val="000000"/>
        </w:rPr>
        <w:t xml:space="preserve"> </w:t>
      </w:r>
      <w:r w:rsidR="005E1609">
        <w:rPr>
          <w:rFonts w:ascii="Arial Narrow" w:hAnsi="Arial Narrow"/>
          <w:b/>
          <w:color w:val="000000"/>
        </w:rPr>
        <w:t>A</w:t>
      </w:r>
      <w:r w:rsidR="005E1609" w:rsidRPr="007E2E25">
        <w:rPr>
          <w:rFonts w:ascii="Arial" w:hAnsi="Arial" w:cs="Arial"/>
          <w:b/>
          <w:color w:val="000000"/>
        </w:rPr>
        <w:t xml:space="preserve">.- </w:t>
      </w:r>
      <w:r w:rsidR="005E1609" w:rsidRPr="007E2E25">
        <w:rPr>
          <w:rFonts w:ascii="Arial" w:hAnsi="Arial" w:cs="Arial"/>
          <w:color w:val="000000"/>
        </w:rPr>
        <w:t>Gestión de recursos económicos y materiales enfocados en el campo.</w:t>
      </w:r>
    </w:p>
    <w:p w:rsidR="005E1609" w:rsidRPr="007E2E25" w:rsidRDefault="00A912FA" w:rsidP="00A912FA">
      <w:pPr>
        <w:spacing w:after="0" w:line="360" w:lineRule="auto"/>
        <w:ind w:right="-376"/>
        <w:rPr>
          <w:rFonts w:ascii="Arial" w:hAnsi="Arial" w:cs="Arial"/>
          <w:color w:val="000000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</w:t>
      </w:r>
      <w:r w:rsidR="005E1609"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</w:t>
      </w:r>
      <w:r w:rsidR="00082E91"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A41CDF">
        <w:rPr>
          <w:rFonts w:ascii="Arial" w:eastAsia="Times New Roman" w:hAnsi="Arial" w:cs="Arial"/>
          <w:b/>
          <w:color w:val="000000"/>
          <w:lang w:eastAsia="es-MX"/>
        </w:rPr>
        <w:t xml:space="preserve">B.-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>Reorganizar al sector ganadero a fin de apoyarlos en la gestión de proyectos</w:t>
      </w:r>
    </w:p>
    <w:p w:rsidR="005E1609" w:rsidRPr="007E2E25" w:rsidRDefault="005E1609" w:rsidP="00082E91">
      <w:pPr>
        <w:spacing w:after="0" w:line="360" w:lineRule="auto"/>
        <w:ind w:left="-142" w:right="-376"/>
        <w:rPr>
          <w:rFonts w:ascii="Arial" w:eastAsia="Times New Roman" w:hAnsi="Arial" w:cs="Arial"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           </w:t>
      </w:r>
      <w:r w:rsidRPr="007E2E25">
        <w:rPr>
          <w:rFonts w:ascii="Arial" w:eastAsia="Times New Roman" w:hAnsi="Arial" w:cs="Arial"/>
          <w:color w:val="000000"/>
          <w:lang w:eastAsia="es-MX"/>
        </w:rPr>
        <w:t>económicos y materiales enfocados en el sector agropecuario.</w:t>
      </w:r>
    </w:p>
    <w:p w:rsidR="005E1609" w:rsidRPr="007E2E25" w:rsidRDefault="0034111B" w:rsidP="005E1609">
      <w:pPr>
        <w:spacing w:after="0" w:line="360" w:lineRule="auto"/>
        <w:ind w:right="-376"/>
        <w:rPr>
          <w:rFonts w:ascii="Arial" w:eastAsia="Times New Roman" w:hAnsi="Arial" w:cs="Arial"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    </w:t>
      </w:r>
      <w:r w:rsidR="00082E91"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="00A41CDF">
        <w:rPr>
          <w:rFonts w:ascii="Arial" w:eastAsia="Times New Roman" w:hAnsi="Arial" w:cs="Arial"/>
          <w:b/>
          <w:color w:val="000000"/>
          <w:lang w:eastAsia="es-MX"/>
        </w:rPr>
        <w:t xml:space="preserve">C.-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>Establecimiento y funcio</w:t>
      </w:r>
      <w:r w:rsidR="000D238A">
        <w:rPr>
          <w:rFonts w:ascii="Arial" w:eastAsia="Times New Roman" w:hAnsi="Arial" w:cs="Arial"/>
          <w:color w:val="000000"/>
          <w:lang w:eastAsia="es-MX"/>
        </w:rPr>
        <w:t>nalidad de los Puntos Inocuos de</w:t>
      </w:r>
      <w:r w:rsidRPr="007E2E2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>Desembarque (PID)</w:t>
      </w:r>
    </w:p>
    <w:p w:rsidR="007E2E25" w:rsidRDefault="0034111B" w:rsidP="005E1609">
      <w:pPr>
        <w:spacing w:after="0" w:line="360" w:lineRule="auto"/>
        <w:ind w:right="-376"/>
        <w:rPr>
          <w:rFonts w:ascii="Arial" w:eastAsia="Times New Roman" w:hAnsi="Arial" w:cs="Arial"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    </w:t>
      </w:r>
      <w:r w:rsidR="00082E91"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="00A41CDF">
        <w:rPr>
          <w:rFonts w:ascii="Arial" w:eastAsia="Times New Roman" w:hAnsi="Arial" w:cs="Arial"/>
          <w:b/>
          <w:color w:val="000000"/>
          <w:lang w:eastAsia="es-MX"/>
        </w:rPr>
        <w:t xml:space="preserve">D.-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 xml:space="preserve">Reorganización del sector apícola a fin de que se adhieran a la ley de fomento </w:t>
      </w:r>
      <w:r w:rsidR="007E2E25">
        <w:rPr>
          <w:rFonts w:ascii="Arial" w:eastAsia="Times New Roman" w:hAnsi="Arial" w:cs="Arial"/>
          <w:color w:val="000000"/>
          <w:lang w:eastAsia="es-MX"/>
        </w:rPr>
        <w:t xml:space="preserve">   </w:t>
      </w:r>
    </w:p>
    <w:p w:rsidR="005E1609" w:rsidRPr="007E2E25" w:rsidRDefault="007E2E25" w:rsidP="00082E91">
      <w:pPr>
        <w:spacing w:after="0" w:line="360" w:lineRule="auto"/>
        <w:ind w:left="-142" w:right="-37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</w:t>
      </w:r>
      <w:r w:rsidR="00082E91">
        <w:rPr>
          <w:rFonts w:ascii="Arial" w:eastAsia="Times New Roman" w:hAnsi="Arial" w:cs="Arial"/>
          <w:color w:val="000000"/>
          <w:lang w:eastAsia="es-MX"/>
        </w:rPr>
        <w:t>Apícola</w:t>
      </w:r>
      <w:r>
        <w:rPr>
          <w:rFonts w:ascii="Arial" w:eastAsia="Times New Roman" w:hAnsi="Arial" w:cs="Arial"/>
          <w:color w:val="000000"/>
          <w:lang w:eastAsia="es-MX"/>
        </w:rPr>
        <w:t xml:space="preserve"> para su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>desarrollo.</w:t>
      </w:r>
    </w:p>
    <w:p w:rsidR="0034111B" w:rsidRPr="00082E91" w:rsidRDefault="0034111B" w:rsidP="0034111B">
      <w:pPr>
        <w:spacing w:after="0" w:line="360" w:lineRule="auto"/>
        <w:ind w:right="-376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   </w:t>
      </w:r>
      <w:r w:rsidR="00082E91"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5E1609" w:rsidRPr="007E2E25">
        <w:rPr>
          <w:rFonts w:ascii="Arial" w:eastAsia="Times New Roman" w:hAnsi="Arial" w:cs="Arial"/>
          <w:b/>
          <w:color w:val="000000"/>
          <w:lang w:eastAsia="es-MX"/>
        </w:rPr>
        <w:t>E.</w:t>
      </w:r>
      <w:r w:rsidR="00A41CDF" w:rsidRPr="00A41CDF">
        <w:rPr>
          <w:rFonts w:ascii="Arial" w:eastAsia="Times New Roman" w:hAnsi="Arial" w:cs="Arial"/>
          <w:b/>
          <w:color w:val="000000"/>
          <w:lang w:eastAsia="es-MX"/>
        </w:rPr>
        <w:t>-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E1609" w:rsidRPr="007E2E25">
        <w:rPr>
          <w:rFonts w:ascii="Arial" w:eastAsia="Times New Roman" w:hAnsi="Arial" w:cs="Arial"/>
          <w:color w:val="000000"/>
          <w:lang w:eastAsia="es-MX"/>
        </w:rPr>
        <w:t>Gestión de recursos materiales enfocados en la vivienda</w:t>
      </w:r>
      <w:r w:rsidR="005E1609" w:rsidRPr="007E2E25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5E1609" w:rsidRPr="007E2E25" w:rsidRDefault="0034111B" w:rsidP="005E1609">
      <w:pPr>
        <w:spacing w:after="0" w:line="360" w:lineRule="auto"/>
        <w:ind w:right="-376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  </w:t>
      </w:r>
      <w:r w:rsidR="007E2E2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r w:rsidR="00082E91"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Pr="007E2E2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A41CDF">
        <w:rPr>
          <w:rFonts w:ascii="Arial" w:eastAsia="Times New Roman" w:hAnsi="Arial" w:cs="Arial"/>
          <w:b/>
          <w:color w:val="000000"/>
          <w:lang w:eastAsia="es-MX"/>
        </w:rPr>
        <w:t xml:space="preserve">F.- </w:t>
      </w:r>
      <w:r w:rsidR="006072FF" w:rsidRPr="007E2E25">
        <w:rPr>
          <w:rFonts w:ascii="Arial" w:eastAsia="Times New Roman" w:hAnsi="Arial" w:cs="Arial"/>
          <w:color w:val="000000"/>
          <w:lang w:eastAsia="es-MX"/>
        </w:rPr>
        <w:t>Módulo de Maquinaria</w:t>
      </w:r>
    </w:p>
    <w:p w:rsidR="005E1609" w:rsidRDefault="0034111B" w:rsidP="005E1609">
      <w:pPr>
        <w:spacing w:after="0" w:line="360" w:lineRule="auto"/>
        <w:ind w:right="-376"/>
        <w:rPr>
          <w:rFonts w:ascii="Arial" w:hAnsi="Arial" w:cs="Arial"/>
          <w:b/>
        </w:rPr>
      </w:pPr>
      <w:r w:rsidRPr="007E2E25"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="00FC266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7E2E2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82E91">
        <w:rPr>
          <w:rFonts w:ascii="Arial" w:eastAsia="Times New Roman" w:hAnsi="Arial" w:cs="Arial"/>
          <w:color w:val="000000"/>
          <w:lang w:eastAsia="es-MX"/>
        </w:rPr>
        <w:t xml:space="preserve">    </w:t>
      </w:r>
      <w:r w:rsidRPr="007E2E2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41CDF">
        <w:rPr>
          <w:rFonts w:ascii="Arial" w:hAnsi="Arial" w:cs="Arial"/>
          <w:b/>
        </w:rPr>
        <w:t xml:space="preserve">G.- </w:t>
      </w:r>
      <w:r w:rsidR="006072FF" w:rsidRPr="007E2E25">
        <w:rPr>
          <w:rFonts w:ascii="Arial" w:hAnsi="Arial" w:cs="Arial"/>
        </w:rPr>
        <w:t>Pozos de Absorción</w:t>
      </w:r>
      <w:r w:rsidR="006072FF" w:rsidRPr="007E2E25">
        <w:rPr>
          <w:rFonts w:ascii="Arial" w:hAnsi="Arial" w:cs="Arial"/>
          <w:b/>
        </w:rPr>
        <w:t>.</w:t>
      </w:r>
    </w:p>
    <w:p w:rsidR="00FC2662" w:rsidRPr="005B54D6" w:rsidRDefault="00FC2662" w:rsidP="005E1609">
      <w:pPr>
        <w:spacing w:after="0" w:line="360" w:lineRule="auto"/>
        <w:ind w:right="-3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082E9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082E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B54D6">
        <w:rPr>
          <w:rFonts w:ascii="Arial" w:hAnsi="Arial" w:cs="Arial"/>
          <w:b/>
        </w:rPr>
        <w:t>H.-</w:t>
      </w:r>
      <w:r w:rsidR="00B234C3">
        <w:rPr>
          <w:rFonts w:ascii="Arial" w:hAnsi="Arial" w:cs="Arial"/>
          <w:b/>
        </w:rPr>
        <w:t xml:space="preserve"> </w:t>
      </w:r>
      <w:r w:rsidR="005B54D6">
        <w:rPr>
          <w:rFonts w:ascii="Arial" w:hAnsi="Arial" w:cs="Arial"/>
        </w:rPr>
        <w:t>Actividad: refacciones y mantenimiento del módulo de maquinaria.</w:t>
      </w:r>
    </w:p>
    <w:p w:rsidR="00832A3E" w:rsidRPr="0034111B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57B62" w:rsidRPr="00E57B62" w:rsidRDefault="00832A3E" w:rsidP="00A912F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34111B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E57B62" w:rsidRDefault="00A912FA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57B62">
        <w:rPr>
          <w:rFonts w:ascii="Arial" w:eastAsia="Times New Roman" w:hAnsi="Arial" w:cs="Arial"/>
          <w:b/>
          <w:color w:val="000000"/>
          <w:lang w:eastAsia="es-MX"/>
        </w:rPr>
        <w:t>A.-</w:t>
      </w:r>
      <w:r w:rsidRPr="00E57B6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B5408" w:rsidRPr="00E57B62">
        <w:rPr>
          <w:rFonts w:ascii="Arial" w:eastAsia="Times New Roman" w:hAnsi="Arial" w:cs="Arial"/>
          <w:color w:val="000000"/>
          <w:lang w:eastAsia="es-MX"/>
        </w:rPr>
        <w:t xml:space="preserve">Se realizó una capacitación con el tema: </w:t>
      </w:r>
      <w:r w:rsidR="00E57B62" w:rsidRPr="00E57B62">
        <w:rPr>
          <w:rFonts w:ascii="Arial" w:eastAsia="Times New Roman" w:hAnsi="Arial" w:cs="Arial"/>
          <w:color w:val="000000"/>
          <w:lang w:eastAsia="es-MX"/>
        </w:rPr>
        <w:t>“Manejo</w:t>
      </w:r>
      <w:r w:rsidR="001B5408" w:rsidRPr="00E57B62">
        <w:rPr>
          <w:rFonts w:ascii="Arial" w:eastAsia="Times New Roman" w:hAnsi="Arial" w:cs="Arial"/>
          <w:color w:val="000000"/>
          <w:lang w:eastAsia="es-MX"/>
        </w:rPr>
        <w:t xml:space="preserve"> adecuado de agroquímicos” impartido por el</w:t>
      </w:r>
      <w:r w:rsidR="00E57B62">
        <w:rPr>
          <w:rFonts w:ascii="Arial" w:eastAsia="Times New Roman" w:hAnsi="Arial" w:cs="Arial"/>
          <w:color w:val="000000"/>
          <w:lang w:eastAsia="es-MX"/>
        </w:rPr>
        <w:t xml:space="preserve"> personal de ASICA.</w:t>
      </w:r>
    </w:p>
    <w:p w:rsidR="00E57B62" w:rsidRDefault="00E57B62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57B62">
        <w:rPr>
          <w:rFonts w:ascii="Arial" w:eastAsia="Times New Roman" w:hAnsi="Arial" w:cs="Arial"/>
          <w:b/>
          <w:color w:val="000000"/>
          <w:lang w:eastAsia="es-MX"/>
        </w:rPr>
        <w:t>B.-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Se realizó una conferencia dirigida a los Avicultores 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 sobre “Bioseguridad  en Aves”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como ponente la MVZ Miriam Santana 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>con la participación de l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a Unión de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91667" w:rsidRPr="00E57B62">
        <w:rPr>
          <w:rFonts w:ascii="Arial" w:eastAsia="Times New Roman" w:hAnsi="Arial" w:cs="Arial"/>
          <w:color w:val="000000"/>
          <w:lang w:eastAsia="es-MX"/>
        </w:rPr>
        <w:t>Asociacion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es de Avícolas de Jalisco (UAAJ) la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SADER 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 Jalisco La SAGARPA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y 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 el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>H. Ayuntamiento</w:t>
      </w:r>
      <w:r w:rsidR="00A912FA" w:rsidRPr="00E57B62">
        <w:rPr>
          <w:rFonts w:ascii="Arial" w:eastAsia="Times New Roman" w:hAnsi="Arial" w:cs="Arial"/>
          <w:color w:val="000000"/>
          <w:lang w:eastAsia="es-MX"/>
        </w:rPr>
        <w:t>,</w:t>
      </w:r>
      <w:r w:rsidR="00391667">
        <w:rPr>
          <w:rFonts w:ascii="Arial" w:eastAsia="Times New Roman" w:hAnsi="Arial" w:cs="Arial"/>
          <w:color w:val="000000"/>
          <w:lang w:eastAsia="es-MX"/>
        </w:rPr>
        <w:t xml:space="preserve"> de Jocotepec, por conducto de la Dirección de desarrollo Rural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 xml:space="preserve">en donde </w:t>
      </w:r>
      <w:r w:rsidR="007E2E25">
        <w:rPr>
          <w:rFonts w:ascii="Arial" w:eastAsia="Times New Roman" w:hAnsi="Arial" w:cs="Arial"/>
          <w:color w:val="000000"/>
          <w:lang w:eastAsia="es-MX"/>
        </w:rPr>
        <w:t xml:space="preserve">además </w:t>
      </w:r>
      <w:r w:rsidR="0034111B" w:rsidRPr="00E57B62">
        <w:rPr>
          <w:rFonts w:ascii="Arial" w:eastAsia="Times New Roman" w:hAnsi="Arial" w:cs="Arial"/>
          <w:color w:val="000000"/>
          <w:lang w:eastAsia="es-MX"/>
        </w:rPr>
        <w:t>se les proporcionó vacunas, para el Newcastle y Cólera aviar   y desinfectante de manera gratuita</w:t>
      </w:r>
      <w:r w:rsidR="00A912FA" w:rsidRPr="00E57B62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E57B62" w:rsidRDefault="00E57B62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realizaron 38 verificaciones de Actualización del Padrón Ganadero. 11 Altas   y 13 Renovaciones de Credencial Agropecuaria, 14 Tarjetas de Tránsito Pecuario, 3 </w:t>
      </w: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actas de Consejo Municipal de Desarrollo Rural Sustentable, </w:t>
      </w:r>
      <w:r w:rsidR="00581663">
        <w:rPr>
          <w:rFonts w:ascii="Arial" w:eastAsia="Times New Roman" w:hAnsi="Arial" w:cs="Arial"/>
          <w:color w:val="000000"/>
          <w:lang w:eastAsia="es-MX"/>
        </w:rPr>
        <w:t xml:space="preserve"> y 3  de 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81663">
        <w:rPr>
          <w:rFonts w:ascii="Arial" w:eastAsia="Times New Roman" w:hAnsi="Arial" w:cs="Arial"/>
          <w:color w:val="000000"/>
          <w:lang w:eastAsia="es-MX"/>
        </w:rPr>
        <w:t>Consejo Ciudadano de Jocotepec, Jal. 498  Descargas de Expedientes del Sistema Anterior en Físico para enviar a Verificación.</w:t>
      </w:r>
    </w:p>
    <w:p w:rsidR="001B5408" w:rsidRDefault="00E57B62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D.</w:t>
      </w:r>
      <w:r w:rsidRPr="002063FB">
        <w:rPr>
          <w:rFonts w:ascii="Arial" w:eastAsia="Times New Roman" w:hAnsi="Arial" w:cs="Arial"/>
          <w:b/>
          <w:color w:val="000000"/>
          <w:lang w:eastAsia="es-MX"/>
        </w:rPr>
        <w:t>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912FA" w:rsidRPr="00E57B62">
        <w:rPr>
          <w:rFonts w:ascii="Arial" w:eastAsia="Times New Roman" w:hAnsi="Arial" w:cs="Arial"/>
          <w:color w:val="000000"/>
          <w:lang w:eastAsia="es-MX"/>
        </w:rPr>
        <w:t>Se realizó un curso-taller a los Apicultores de la región, con  sede en Jocotepec, sobre Apiterapia en donde se proporcionó tratamiento gratuito a quien lo solicitó, con la participación de las siguientes instituciones</w:t>
      </w:r>
      <w:r w:rsidR="00082E91">
        <w:rPr>
          <w:rFonts w:ascii="Arial" w:eastAsia="Times New Roman" w:hAnsi="Arial" w:cs="Arial"/>
          <w:color w:val="000000"/>
          <w:lang w:eastAsia="es-MX"/>
        </w:rPr>
        <w:t xml:space="preserve">; </w:t>
      </w:r>
      <w:r w:rsidR="00A912FA" w:rsidRPr="00E57B62">
        <w:rPr>
          <w:rFonts w:ascii="Arial" w:eastAsia="Times New Roman" w:hAnsi="Arial" w:cs="Arial"/>
          <w:color w:val="000000"/>
          <w:lang w:eastAsia="es-MX"/>
        </w:rPr>
        <w:t>Apícola de la Montaña, Comité Estatal Sistema Producción Apícola, Fundación Produce Jalisco, H. Ayuntamiento de Jocotepec, entre otros.</w:t>
      </w:r>
    </w:p>
    <w:p w:rsidR="0090285E" w:rsidRPr="002063FB" w:rsidRDefault="00E57B62" w:rsidP="002063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E.</w:t>
      </w:r>
      <w:r w:rsidR="002063FB" w:rsidRPr="002063FB">
        <w:rPr>
          <w:rFonts w:ascii="Arial" w:eastAsia="Times New Roman" w:hAnsi="Arial" w:cs="Arial"/>
          <w:color w:val="000000"/>
          <w:sz w:val="20"/>
          <w:lang w:eastAsia="es-MX"/>
        </w:rPr>
        <w:t>-</w:t>
      </w:r>
      <w:r w:rsidR="00B234C3">
        <w:rPr>
          <w:rFonts w:ascii="Arial" w:eastAsia="Times New Roman" w:hAnsi="Arial" w:cs="Arial"/>
          <w:b/>
          <w:color w:val="000000"/>
          <w:sz w:val="20"/>
          <w:lang w:eastAsia="es-MX"/>
        </w:rPr>
        <w:t xml:space="preserve"> </w:t>
      </w:r>
      <w:r w:rsidR="00581663" w:rsidRPr="00082E91">
        <w:rPr>
          <w:rFonts w:ascii="Arial" w:eastAsia="Times New Roman" w:hAnsi="Arial" w:cs="Arial"/>
          <w:color w:val="000000"/>
          <w:lang w:eastAsia="es-MX"/>
        </w:rPr>
        <w:t xml:space="preserve">Se promocionó y Gestionó la adquisición de 17 Calentadores Solares de diferente cantidad de tubos, 13 Juegos de WC, y 2 Tanques de Calentador para 12 tubos , así como 52 Paquetes que incluían </w:t>
      </w:r>
      <w:r w:rsidR="003D0DD1" w:rsidRPr="00082E91">
        <w:rPr>
          <w:rFonts w:ascii="Arial" w:eastAsia="Times New Roman" w:hAnsi="Arial" w:cs="Arial"/>
          <w:color w:val="000000"/>
          <w:lang w:eastAsia="es-MX"/>
        </w:rPr>
        <w:t>(1 calen</w:t>
      </w:r>
      <w:r w:rsidR="00A41CDF">
        <w:rPr>
          <w:rFonts w:ascii="Arial" w:eastAsia="Times New Roman" w:hAnsi="Arial" w:cs="Arial"/>
          <w:color w:val="000000"/>
          <w:lang w:eastAsia="es-MX"/>
        </w:rPr>
        <w:t>tador de  gravedad de 12 tubos,</w:t>
      </w:r>
      <w:r w:rsidR="003D0DD1" w:rsidRPr="00082E91">
        <w:rPr>
          <w:rFonts w:ascii="Arial" w:eastAsia="Times New Roman" w:hAnsi="Arial" w:cs="Arial"/>
          <w:color w:val="000000"/>
          <w:lang w:eastAsia="es-MX"/>
        </w:rPr>
        <w:t xml:space="preserve"> 1 Tinaco forteplas de  1,100 lts. 1 base para Tinaco,  1 bomba de ½ H.P.  1 WC  que contiene Taza tanque y herrajes</w:t>
      </w:r>
      <w:r w:rsidR="00082E91">
        <w:rPr>
          <w:rFonts w:ascii="Arial" w:eastAsia="Times New Roman" w:hAnsi="Arial" w:cs="Arial"/>
          <w:color w:val="000000"/>
          <w:lang w:eastAsia="es-MX"/>
        </w:rPr>
        <w:t>,</w:t>
      </w:r>
      <w:r w:rsidR="003D0DD1" w:rsidRPr="00082E91">
        <w:rPr>
          <w:rFonts w:ascii="Arial" w:eastAsia="Times New Roman" w:hAnsi="Arial" w:cs="Arial"/>
          <w:color w:val="000000"/>
          <w:lang w:eastAsia="es-MX"/>
        </w:rPr>
        <w:t xml:space="preserve"> en donde participaron en su promoción y venta el programa “Mujeres en Movimiento”  y la Dirección de Desarrollo Rural.</w:t>
      </w:r>
    </w:p>
    <w:p w:rsidR="003D0DD1" w:rsidRPr="00082E91" w:rsidRDefault="0090285E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82E91">
        <w:rPr>
          <w:rFonts w:ascii="Arial" w:eastAsia="Times New Roman" w:hAnsi="Arial" w:cs="Arial"/>
          <w:b/>
          <w:color w:val="000000"/>
          <w:lang w:eastAsia="es-MX"/>
        </w:rPr>
        <w:t>F.-</w:t>
      </w:r>
      <w:r w:rsidRPr="00082E91">
        <w:rPr>
          <w:rFonts w:ascii="Arial" w:eastAsia="Times New Roman" w:hAnsi="Arial" w:cs="Arial"/>
          <w:color w:val="000000"/>
          <w:lang w:eastAsia="es-MX"/>
        </w:rPr>
        <w:t xml:space="preserve"> Se intervinieron 23.8 kilómetros  en la rehabilitación de caminos saca</w:t>
      </w:r>
      <w:r w:rsidR="004D08E3" w:rsidRPr="00082E91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082E91">
        <w:rPr>
          <w:rFonts w:ascii="Arial" w:eastAsia="Times New Roman" w:hAnsi="Arial" w:cs="Arial"/>
          <w:color w:val="000000"/>
          <w:lang w:eastAsia="es-MX"/>
        </w:rPr>
        <w:t xml:space="preserve">cosechas </w:t>
      </w:r>
      <w:r w:rsidRPr="00082E91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4D08E3" w:rsidRPr="00082E91">
        <w:rPr>
          <w:rFonts w:ascii="Arial" w:eastAsia="Times New Roman" w:hAnsi="Arial" w:cs="Arial"/>
          <w:color w:val="000000"/>
          <w:lang w:eastAsia="es-MX"/>
        </w:rPr>
        <w:t>en los ejidos de Nextipac, San Luciano, Potrerillos, de los siguientes caminos</w:t>
      </w:r>
      <w:r w:rsidR="003E63C4" w:rsidRPr="00082E91">
        <w:rPr>
          <w:rFonts w:ascii="Arial" w:eastAsia="Times New Roman" w:hAnsi="Arial" w:cs="Arial"/>
          <w:color w:val="000000"/>
          <w:lang w:eastAsia="es-MX"/>
        </w:rPr>
        <w:t xml:space="preserve">: </w:t>
      </w:r>
      <w:r w:rsidR="004D08E3" w:rsidRPr="00082E91">
        <w:rPr>
          <w:rFonts w:ascii="Arial" w:eastAsia="Times New Roman" w:hAnsi="Arial" w:cs="Arial"/>
          <w:color w:val="000000"/>
          <w:lang w:eastAsia="es-MX"/>
        </w:rPr>
        <w:t xml:space="preserve"> La Falda,  Barreras, El Arco, La Lagunilla, Gigantes, Los Palos Verdes, Camino a Las Antenas, Camino a San Luciano, Los Sabinos </w:t>
      </w:r>
      <w:r w:rsidR="003E63C4" w:rsidRPr="00082E91">
        <w:rPr>
          <w:rFonts w:ascii="Arial" w:eastAsia="Times New Roman" w:hAnsi="Arial" w:cs="Arial"/>
          <w:color w:val="000000"/>
          <w:lang w:eastAsia="es-MX"/>
        </w:rPr>
        <w:t xml:space="preserve">La Tecomaca,  El Capulín, </w:t>
      </w:r>
      <w:r w:rsidR="004D08E3" w:rsidRPr="00082E91">
        <w:rPr>
          <w:rFonts w:ascii="Arial" w:eastAsia="Times New Roman" w:hAnsi="Arial" w:cs="Arial"/>
          <w:color w:val="000000"/>
          <w:lang w:eastAsia="es-MX"/>
        </w:rPr>
        <w:t>entre otros.</w:t>
      </w:r>
    </w:p>
    <w:p w:rsidR="003E63C4" w:rsidRPr="00082E91" w:rsidRDefault="003E63C4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82E91">
        <w:rPr>
          <w:rFonts w:ascii="Arial" w:eastAsia="Times New Roman" w:hAnsi="Arial" w:cs="Arial"/>
          <w:color w:val="000000"/>
          <w:lang w:eastAsia="es-MX"/>
        </w:rPr>
        <w:t xml:space="preserve">Así también en las zonas urbana se rehabilitaron las siguientes calles: en la delegación de potrerillos,  </w:t>
      </w:r>
      <w:r w:rsidR="00082E91">
        <w:rPr>
          <w:rFonts w:ascii="Arial" w:eastAsia="Times New Roman" w:hAnsi="Arial" w:cs="Arial"/>
          <w:color w:val="000000"/>
          <w:lang w:eastAsia="es-MX"/>
        </w:rPr>
        <w:t>(</w:t>
      </w:r>
      <w:r w:rsidRPr="00082E91">
        <w:rPr>
          <w:rFonts w:ascii="Arial" w:eastAsia="Times New Roman" w:hAnsi="Arial" w:cs="Arial"/>
          <w:color w:val="000000"/>
          <w:lang w:eastAsia="es-MX"/>
        </w:rPr>
        <w:t xml:space="preserve">Esmeralda, 5 de Febrero,  10 de Mayo, Ramón Corona, 12 de Octubre, 20 de Noviembre, López Cotilla, Hidalgo, Juárez,  Vicente Guerrero, Lázaro Cárdenas,  Morelos, </w:t>
      </w:r>
      <w:r w:rsidR="00C66B5D" w:rsidRPr="00082E91">
        <w:rPr>
          <w:rFonts w:ascii="Arial" w:eastAsia="Times New Roman" w:hAnsi="Arial" w:cs="Arial"/>
          <w:color w:val="000000"/>
          <w:lang w:eastAsia="es-MX"/>
        </w:rPr>
        <w:t>Cuauhtémoc</w:t>
      </w:r>
      <w:r w:rsidR="00082E91">
        <w:rPr>
          <w:rFonts w:ascii="Arial" w:eastAsia="Times New Roman" w:hAnsi="Arial" w:cs="Arial"/>
          <w:color w:val="000000"/>
          <w:lang w:eastAsia="es-MX"/>
        </w:rPr>
        <w:t>),</w:t>
      </w:r>
      <w:r w:rsidR="00C66B5D" w:rsidRPr="00082E91">
        <w:rPr>
          <w:rFonts w:ascii="Arial" w:eastAsia="Times New Roman" w:hAnsi="Arial" w:cs="Arial"/>
          <w:color w:val="000000"/>
          <w:lang w:eastAsia="es-MX"/>
        </w:rPr>
        <w:t xml:space="preserve"> entre otras.</w:t>
      </w:r>
    </w:p>
    <w:p w:rsidR="00D30C09" w:rsidRDefault="00D30C09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82E91">
        <w:rPr>
          <w:rFonts w:ascii="Arial" w:eastAsia="Times New Roman" w:hAnsi="Arial" w:cs="Arial"/>
          <w:b/>
          <w:color w:val="000000"/>
          <w:lang w:eastAsia="es-MX"/>
        </w:rPr>
        <w:t xml:space="preserve">G.- </w:t>
      </w:r>
      <w:r w:rsidRPr="00082E91">
        <w:rPr>
          <w:rFonts w:ascii="Arial" w:eastAsia="Times New Roman" w:hAnsi="Arial" w:cs="Arial"/>
          <w:color w:val="000000"/>
          <w:lang w:eastAsia="es-MX"/>
        </w:rPr>
        <w:t>En reunión del Consejo Municipal de Desarrollo Rural Sustentable  en donde están integrados los comisariados ejidales y presidentes de productores agropecuarios se hizo énfasis sobre la importancia de realizar pozos de absorción en las áreas de cultivo con la finalidad de</w:t>
      </w:r>
      <w:r w:rsidR="007E2E25" w:rsidRPr="00082E91">
        <w:rPr>
          <w:rFonts w:ascii="Arial" w:eastAsia="Times New Roman" w:hAnsi="Arial" w:cs="Arial"/>
          <w:color w:val="000000"/>
          <w:lang w:eastAsia="es-MX"/>
        </w:rPr>
        <w:t xml:space="preserve"> reabastecer los acuíferos </w:t>
      </w:r>
      <w:r w:rsidR="00C37CDC" w:rsidRPr="00082E91">
        <w:rPr>
          <w:rFonts w:ascii="Arial" w:eastAsia="Times New Roman" w:hAnsi="Arial" w:cs="Arial"/>
          <w:color w:val="000000"/>
          <w:lang w:eastAsia="es-MX"/>
        </w:rPr>
        <w:t xml:space="preserve"> que están sobrexplotados de acuerdo a</w:t>
      </w:r>
      <w:r w:rsidR="007E2E25" w:rsidRPr="00082E91">
        <w:rPr>
          <w:rFonts w:ascii="Arial" w:eastAsia="Times New Roman" w:hAnsi="Arial" w:cs="Arial"/>
          <w:color w:val="000000"/>
          <w:lang w:eastAsia="es-MX"/>
        </w:rPr>
        <w:t>l</w:t>
      </w:r>
      <w:r w:rsidR="00C37CDC" w:rsidRPr="00082E91">
        <w:rPr>
          <w:rFonts w:ascii="Arial" w:eastAsia="Times New Roman" w:hAnsi="Arial" w:cs="Arial"/>
          <w:color w:val="000000"/>
          <w:lang w:eastAsia="es-MX"/>
        </w:rPr>
        <w:t xml:space="preserve"> análisis de CONAGUA, además se les informó sobre el apoyo de programas por parte de SADE</w:t>
      </w:r>
      <w:r w:rsidR="007E2E25" w:rsidRPr="00082E91">
        <w:rPr>
          <w:rFonts w:ascii="Arial" w:eastAsia="Times New Roman" w:hAnsi="Arial" w:cs="Arial"/>
          <w:color w:val="000000"/>
          <w:lang w:eastAsia="es-MX"/>
        </w:rPr>
        <w:t>R Jalisco para estos proyectos.</w:t>
      </w:r>
    </w:p>
    <w:p w:rsidR="002063FB" w:rsidRPr="00082E91" w:rsidRDefault="002063FB" w:rsidP="00E57B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7E2E2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C66B5D" w:rsidP="002063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existieron Montos.</w:t>
      </w:r>
    </w:p>
    <w:p w:rsidR="008615CA" w:rsidRPr="007E2E2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lastRenderedPageBreak/>
        <w:t>En que beneficia a la población o un grupo en específico lo desarrollado en este trimestre</w:t>
      </w:r>
      <w:r w:rsidR="00AC1596" w:rsidRPr="007E2E25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32A3E" w:rsidRPr="00C66B5D" w:rsidRDefault="00C66B5D" w:rsidP="00C66B5D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C66B5D">
        <w:rPr>
          <w:rFonts w:ascii="Arial" w:eastAsia="Times New Roman" w:hAnsi="Arial" w:cs="Arial"/>
          <w:color w:val="000000"/>
          <w:lang w:eastAsia="es-MX"/>
        </w:rPr>
        <w:t xml:space="preserve">A la población en General </w:t>
      </w:r>
      <w:r>
        <w:rPr>
          <w:rFonts w:ascii="Arial" w:eastAsia="Times New Roman" w:hAnsi="Arial" w:cs="Arial"/>
          <w:color w:val="000000"/>
          <w:lang w:eastAsia="es-MX"/>
        </w:rPr>
        <w:t xml:space="preserve">y específicamente a los productores de las diferentes áreas que atiende esta Dirección, resultan beneficiados en su economía al adquirir productos y materiales más bajo costo del que se oferta en el mercado, así como  al incrementar su producción , en su bienestar social y en su salud  física.  </w:t>
      </w:r>
    </w:p>
    <w:p w:rsidR="00832A3E" w:rsidRPr="007E2E25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7E2E25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7639AF" w:rsidRPr="007E2E25">
        <w:rPr>
          <w:rFonts w:ascii="Arial" w:eastAsia="Times New Roman" w:hAnsi="Arial" w:cs="Arial"/>
          <w:b/>
          <w:color w:val="000000"/>
          <w:lang w:eastAsia="es-MX"/>
        </w:rPr>
        <w:t>unicipal de Desarrollo 2018-2024</w:t>
      </w:r>
      <w:r w:rsidR="00832A3E" w:rsidRPr="007E2E25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9B2A55" w:rsidRPr="006433C9" w:rsidRDefault="00082E91" w:rsidP="00A41CDF">
      <w:pPr>
        <w:pStyle w:val="Prrafodelista"/>
        <w:spacing w:after="0" w:line="360" w:lineRule="auto"/>
        <w:ind w:left="786" w:right="-93"/>
        <w:jc w:val="both"/>
        <w:rPr>
          <w:rFonts w:ascii="Arial" w:eastAsia="Times New Roman" w:hAnsi="Arial" w:cs="Arial"/>
          <w:color w:val="000000"/>
          <w:lang w:eastAsia="es-MX"/>
        </w:rPr>
      </w:pPr>
      <w:r w:rsidRPr="002063FB">
        <w:rPr>
          <w:rFonts w:ascii="Arial" w:eastAsia="Times New Roman" w:hAnsi="Arial" w:cs="Arial"/>
          <w:b/>
          <w:color w:val="000000"/>
          <w:lang w:eastAsia="es-MX"/>
        </w:rPr>
        <w:t>1.-</w:t>
      </w:r>
      <w:r w:rsidR="009B2A55" w:rsidRPr="006433C9">
        <w:rPr>
          <w:rFonts w:ascii="Arial" w:eastAsia="Times New Roman" w:hAnsi="Arial" w:cs="Arial"/>
          <w:color w:val="000000"/>
          <w:lang w:eastAsia="es-MX"/>
        </w:rPr>
        <w:t>Gestión de recursos económicos y materiales enfocados en el campo</w:t>
      </w:r>
      <w:r w:rsidR="00A41CDF">
        <w:rPr>
          <w:rFonts w:ascii="Arial" w:eastAsia="Times New Roman" w:hAnsi="Arial" w:cs="Arial"/>
          <w:color w:val="000000"/>
          <w:lang w:eastAsia="es-MX"/>
        </w:rPr>
        <w:t>.</w:t>
      </w:r>
    </w:p>
    <w:p w:rsidR="009B2A55" w:rsidRPr="00A41CDF" w:rsidRDefault="009B2A55" w:rsidP="00A41CDF">
      <w:pPr>
        <w:pStyle w:val="Prrafodelista"/>
        <w:spacing w:after="0" w:line="360" w:lineRule="auto"/>
        <w:ind w:left="786" w:right="-93"/>
        <w:jc w:val="both"/>
        <w:rPr>
          <w:rFonts w:ascii="Arial" w:eastAsia="Times New Roman" w:hAnsi="Arial" w:cs="Arial"/>
          <w:color w:val="000000"/>
          <w:lang w:eastAsia="es-MX"/>
        </w:rPr>
      </w:pPr>
      <w:r w:rsidRPr="002063FB">
        <w:rPr>
          <w:rFonts w:ascii="Arial" w:eastAsia="Times New Roman" w:hAnsi="Arial" w:cs="Arial"/>
          <w:b/>
          <w:color w:val="000000"/>
          <w:lang w:eastAsia="es-MX"/>
        </w:rPr>
        <w:t>2.</w:t>
      </w:r>
      <w:r w:rsidR="00082E91" w:rsidRPr="002063FB">
        <w:rPr>
          <w:rFonts w:ascii="Arial" w:eastAsia="Times New Roman" w:hAnsi="Arial" w:cs="Arial"/>
          <w:b/>
          <w:color w:val="000000"/>
          <w:lang w:eastAsia="es-MX"/>
        </w:rPr>
        <w:t>-</w:t>
      </w:r>
      <w:r w:rsidRPr="006433C9">
        <w:rPr>
          <w:rFonts w:ascii="Arial" w:eastAsia="Times New Roman" w:hAnsi="Arial" w:cs="Arial"/>
          <w:color w:val="000000"/>
          <w:lang w:eastAsia="es-MX"/>
        </w:rPr>
        <w:t>Reorganizar al sector ganadero a fin de apoyarlos en la gestión de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A41CDF">
        <w:rPr>
          <w:rFonts w:ascii="Arial" w:eastAsia="Times New Roman" w:hAnsi="Arial" w:cs="Arial"/>
          <w:color w:val="000000"/>
          <w:lang w:eastAsia="es-MX"/>
        </w:rPr>
        <w:t>proyectos económicos y materiales enfocados en el sector agropecuario.</w:t>
      </w:r>
    </w:p>
    <w:p w:rsidR="009B2A55" w:rsidRPr="00A41CDF" w:rsidRDefault="009B2A55" w:rsidP="00A41CDF">
      <w:pPr>
        <w:spacing w:after="0" w:line="360" w:lineRule="auto"/>
        <w:ind w:right="-9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082E91" w:rsidRPr="002063FB">
        <w:rPr>
          <w:rFonts w:ascii="Arial" w:eastAsia="Times New Roman" w:hAnsi="Arial" w:cs="Arial"/>
          <w:b/>
          <w:color w:val="000000"/>
          <w:lang w:eastAsia="es-MX"/>
        </w:rPr>
        <w:t>3.-</w:t>
      </w:r>
      <w:r w:rsidRPr="00061794">
        <w:rPr>
          <w:rFonts w:ascii="Arial" w:eastAsia="Times New Roman" w:hAnsi="Arial" w:cs="Arial"/>
          <w:color w:val="000000"/>
          <w:lang w:eastAsia="es-MX"/>
        </w:rPr>
        <w:t>Establecimiento y funcionalidad de los Puntos Inocuos de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A41CDF">
        <w:rPr>
          <w:rFonts w:ascii="Arial" w:eastAsia="Times New Roman" w:hAnsi="Arial" w:cs="Arial"/>
          <w:color w:val="000000"/>
          <w:lang w:eastAsia="es-MX"/>
        </w:rPr>
        <w:t>Desembarque (PID)</w:t>
      </w:r>
      <w:r w:rsidR="00A41CDF">
        <w:rPr>
          <w:rFonts w:ascii="Arial" w:eastAsia="Times New Roman" w:hAnsi="Arial" w:cs="Arial"/>
          <w:color w:val="000000"/>
          <w:lang w:eastAsia="es-MX"/>
        </w:rPr>
        <w:t>.</w:t>
      </w:r>
    </w:p>
    <w:p w:rsidR="009B2A55" w:rsidRPr="00061794" w:rsidRDefault="009B2A55" w:rsidP="00A41CDF">
      <w:pPr>
        <w:spacing w:after="0" w:line="360" w:lineRule="auto"/>
        <w:ind w:left="851" w:right="-93" w:hanging="709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082E91" w:rsidRPr="002063FB">
        <w:rPr>
          <w:rFonts w:ascii="Arial" w:eastAsia="Times New Roman" w:hAnsi="Arial" w:cs="Arial"/>
          <w:b/>
          <w:color w:val="000000"/>
          <w:lang w:eastAsia="es-MX"/>
        </w:rPr>
        <w:t>4.-</w:t>
      </w:r>
      <w:r w:rsidRPr="00061794">
        <w:rPr>
          <w:rFonts w:ascii="Arial" w:eastAsia="Times New Roman" w:hAnsi="Arial" w:cs="Arial"/>
          <w:color w:val="000000"/>
          <w:lang w:eastAsia="es-MX"/>
        </w:rPr>
        <w:t>Reorganización del sector apícola a fin de que se adhieran a la ley de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061794">
        <w:rPr>
          <w:rFonts w:ascii="Arial" w:eastAsia="Times New Roman" w:hAnsi="Arial" w:cs="Arial"/>
          <w:color w:val="000000"/>
          <w:lang w:eastAsia="es-MX"/>
        </w:rPr>
        <w:t xml:space="preserve">fomento </w:t>
      </w:r>
      <w:r w:rsidR="00A41CDF">
        <w:rPr>
          <w:rFonts w:ascii="Arial" w:eastAsia="Times New Roman" w:hAnsi="Arial" w:cs="Arial"/>
          <w:color w:val="000000"/>
          <w:lang w:eastAsia="es-MX"/>
        </w:rPr>
        <w:t xml:space="preserve">         </w:t>
      </w:r>
      <w:r w:rsidRPr="00061794">
        <w:rPr>
          <w:rFonts w:ascii="Arial" w:eastAsia="Times New Roman" w:hAnsi="Arial" w:cs="Arial"/>
          <w:color w:val="000000"/>
          <w:lang w:eastAsia="es-MX"/>
        </w:rPr>
        <w:t>apícola para su que sean sujetos de los programas de apoyo.</w:t>
      </w:r>
    </w:p>
    <w:p w:rsidR="009B2A55" w:rsidRDefault="00C53CFA" w:rsidP="00A41CDF">
      <w:pPr>
        <w:spacing w:after="0" w:line="360" w:lineRule="auto"/>
        <w:ind w:left="710" w:right="-9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B2A5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B2A55" w:rsidRPr="002063FB">
        <w:rPr>
          <w:rFonts w:ascii="Arial" w:eastAsia="Times New Roman" w:hAnsi="Arial" w:cs="Arial"/>
          <w:b/>
          <w:color w:val="000000"/>
          <w:lang w:eastAsia="es-MX"/>
        </w:rPr>
        <w:t>5.-</w:t>
      </w:r>
      <w:r w:rsidR="009B2A55" w:rsidRPr="00061794">
        <w:rPr>
          <w:rFonts w:ascii="Arial" w:eastAsia="Times New Roman" w:hAnsi="Arial" w:cs="Arial"/>
          <w:color w:val="000000"/>
          <w:lang w:eastAsia="es-MX"/>
        </w:rPr>
        <w:t>Gestión de recursos materiales enfocados en la vivienda.</w:t>
      </w:r>
    </w:p>
    <w:p w:rsidR="00C53CFA" w:rsidRPr="00061794" w:rsidRDefault="00082E91" w:rsidP="00A41CDF">
      <w:pPr>
        <w:spacing w:after="0" w:line="360" w:lineRule="auto"/>
        <w:ind w:left="710" w:right="-9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Pr="002063FB">
        <w:rPr>
          <w:rFonts w:ascii="Arial" w:eastAsia="Times New Roman" w:hAnsi="Arial" w:cs="Arial"/>
          <w:b/>
          <w:color w:val="000000"/>
          <w:lang w:eastAsia="es-MX"/>
        </w:rPr>
        <w:t>6.-</w:t>
      </w:r>
      <w:r w:rsidR="00C53CFA">
        <w:rPr>
          <w:rFonts w:ascii="Arial" w:eastAsia="Times New Roman" w:hAnsi="Arial" w:cs="Arial"/>
          <w:color w:val="000000"/>
          <w:lang w:eastAsia="es-MX"/>
        </w:rPr>
        <w:t>Módulo de Maquinaria</w:t>
      </w:r>
      <w:r w:rsidR="00A41CDF">
        <w:rPr>
          <w:rFonts w:ascii="Arial" w:eastAsia="Times New Roman" w:hAnsi="Arial" w:cs="Arial"/>
          <w:color w:val="000000"/>
          <w:lang w:eastAsia="es-MX"/>
        </w:rPr>
        <w:t>.</w:t>
      </w:r>
      <w:r w:rsidR="00C53CFA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9B2A55" w:rsidRPr="00061794" w:rsidRDefault="00C53CFA" w:rsidP="00A41CDF">
      <w:pPr>
        <w:spacing w:after="0" w:line="360" w:lineRule="auto"/>
        <w:ind w:left="710" w:right="-9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B2A5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82E91" w:rsidRPr="002063FB">
        <w:rPr>
          <w:rFonts w:ascii="Arial" w:eastAsia="Times New Roman" w:hAnsi="Arial" w:cs="Arial"/>
          <w:b/>
          <w:color w:val="000000"/>
          <w:lang w:eastAsia="es-MX"/>
        </w:rPr>
        <w:t>7.-</w:t>
      </w:r>
      <w:r w:rsidR="009B2A55" w:rsidRPr="00061794">
        <w:rPr>
          <w:rFonts w:ascii="Arial" w:eastAsia="Times New Roman" w:hAnsi="Arial" w:cs="Arial"/>
          <w:color w:val="000000"/>
          <w:lang w:eastAsia="es-MX"/>
        </w:rPr>
        <w:t>Pozos de Absorción</w:t>
      </w:r>
      <w:r w:rsidR="00A41CDF">
        <w:rPr>
          <w:rFonts w:ascii="Arial" w:eastAsia="Times New Roman" w:hAnsi="Arial" w:cs="Arial"/>
          <w:color w:val="000000"/>
          <w:lang w:eastAsia="es-MX"/>
        </w:rPr>
        <w:t>.</w:t>
      </w:r>
    </w:p>
    <w:p w:rsidR="009B2A55" w:rsidRPr="00061794" w:rsidRDefault="009B2A55" w:rsidP="009B2A55">
      <w:pPr>
        <w:spacing w:after="0" w:line="360" w:lineRule="auto"/>
        <w:ind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C53CFA">
        <w:rPr>
          <w:rFonts w:ascii="Arial" w:eastAsia="Times New Roman" w:hAnsi="Arial" w:cs="Arial"/>
          <w:color w:val="000000"/>
          <w:lang w:eastAsia="es-MX"/>
        </w:rPr>
        <w:t xml:space="preserve">  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632B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632B4" w:rsidRPr="002063FB">
        <w:rPr>
          <w:rFonts w:ascii="Arial" w:eastAsia="Times New Roman" w:hAnsi="Arial" w:cs="Arial"/>
          <w:b/>
          <w:color w:val="000000"/>
          <w:lang w:eastAsia="es-MX"/>
        </w:rPr>
        <w:t>1.-</w:t>
      </w:r>
      <w:r w:rsidR="000632B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440CF" w:rsidRPr="000632B4">
        <w:rPr>
          <w:rFonts w:ascii="Arial" w:eastAsia="Times New Roman" w:hAnsi="Arial" w:cs="Arial"/>
          <w:color w:val="000000"/>
          <w:lang w:eastAsia="es-MX"/>
        </w:rPr>
        <w:t>Actividad: Reparación y M</w:t>
      </w:r>
      <w:r w:rsidR="007440CF">
        <w:rPr>
          <w:rFonts w:ascii="Arial" w:eastAsia="Times New Roman" w:hAnsi="Arial" w:cs="Arial"/>
          <w:color w:val="000000"/>
          <w:lang w:eastAsia="es-MX"/>
        </w:rPr>
        <w:t>antenimiento del Módulo de Maquinaria.</w:t>
      </w:r>
    </w:p>
    <w:p w:rsidR="00832A3E" w:rsidRDefault="000632B4" w:rsidP="007440CF">
      <w:pPr>
        <w:spacing w:after="0" w:line="360" w:lineRule="auto"/>
        <w:ind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</w:t>
      </w:r>
    </w:p>
    <w:p w:rsidR="002063FB" w:rsidRPr="00832A3E" w:rsidRDefault="002063F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7E2E2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7E2E25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432"/>
        <w:gridCol w:w="1389"/>
        <w:gridCol w:w="1842"/>
        <w:gridCol w:w="1560"/>
        <w:gridCol w:w="2125"/>
      </w:tblGrid>
      <w:tr w:rsidR="00807BB5" w:rsidTr="00183DC4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43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138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183DC4">
        <w:tc>
          <w:tcPr>
            <w:tcW w:w="567" w:type="dxa"/>
          </w:tcPr>
          <w:p w:rsidR="00807BB5" w:rsidRDefault="009B2A5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3432" w:type="dxa"/>
          </w:tcPr>
          <w:p w:rsidR="00807BB5" w:rsidRDefault="009B2A5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3C9">
              <w:rPr>
                <w:rFonts w:ascii="Arial" w:eastAsia="Times New Roman" w:hAnsi="Arial" w:cs="Arial"/>
                <w:color w:val="000000"/>
                <w:lang w:eastAsia="es-MX"/>
              </w:rPr>
              <w:t>Gestión de recursos económicos y materiales enfocados en el campo</w:t>
            </w:r>
          </w:p>
        </w:tc>
        <w:tc>
          <w:tcPr>
            <w:tcW w:w="138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9B2A5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9B2A5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DC12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432" w:type="dxa"/>
          </w:tcPr>
          <w:p w:rsidR="009B2A55" w:rsidRPr="00DC124C" w:rsidRDefault="009B2A55" w:rsidP="00A41CD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Reorganizar al</w:t>
            </w:r>
            <w:r w:rsidR="00A41CDF"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Sector </w:t>
            </w: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ganadero</w:t>
            </w:r>
            <w:r w:rsidR="00A41CDF"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fin de</w:t>
            </w:r>
            <w:r w:rsidR="00A41CDF"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apoyarlos en la gestión de</w:t>
            </w:r>
            <w:r w:rsidR="00A41CDF"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</w:t>
            </w:r>
          </w:p>
          <w:p w:rsidR="009B2A55" w:rsidRPr="00DC124C" w:rsidRDefault="009B2A55" w:rsidP="00A41CD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económicos y</w:t>
            </w:r>
          </w:p>
          <w:p w:rsidR="009B2A55" w:rsidRPr="00DC124C" w:rsidRDefault="009B2A55" w:rsidP="00A41CD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</w:t>
            </w:r>
          </w:p>
          <w:p w:rsidR="00807BB5" w:rsidRPr="00082E91" w:rsidRDefault="009B2A55" w:rsidP="00A41CD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enfocados en el sector</w:t>
            </w:r>
            <w:r w:rsidR="00A41CDF"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agropecuario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3432" w:type="dxa"/>
          </w:tcPr>
          <w:p w:rsidR="00807BB5" w:rsidRPr="00DC124C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124C">
              <w:rPr>
                <w:rFonts w:ascii="Arial" w:hAnsi="Arial" w:cs="Arial"/>
                <w:sz w:val="20"/>
                <w:szCs w:val="20"/>
              </w:rPr>
              <w:t>Reorganización al sector apícola a fin de que se adhieran a la ley de fomento apícola.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3432" w:type="dxa"/>
          </w:tcPr>
          <w:p w:rsidR="00807BB5" w:rsidRPr="00DC124C" w:rsidRDefault="00C36D5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C1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Gestión de recursos materiales enfocados en la vivienda.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082E91" w:rsidRDefault="009B2A5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3432" w:type="dxa"/>
          </w:tcPr>
          <w:p w:rsidR="00807BB5" w:rsidRPr="00082E91" w:rsidRDefault="00D30C0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Módulo de maquinaria.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D30C0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082E91" w:rsidRDefault="00D30C0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3432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Pozos de Absorción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Pr="00082E91" w:rsidRDefault="00C37C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807BB5" w:rsidTr="00183DC4">
        <w:tc>
          <w:tcPr>
            <w:tcW w:w="567" w:type="dxa"/>
          </w:tcPr>
          <w:p w:rsidR="00807BB5" w:rsidRPr="00082E91" w:rsidRDefault="000632B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432" w:type="dxa"/>
          </w:tcPr>
          <w:p w:rsidR="00807BB5" w:rsidRPr="00082E91" w:rsidRDefault="00FC2662" w:rsidP="007440C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hAnsi="Arial" w:cs="Arial"/>
              </w:rPr>
              <w:t xml:space="preserve"> </w:t>
            </w:r>
            <w:r w:rsidR="007440CF" w:rsidRPr="00082E91">
              <w:rPr>
                <w:rFonts w:ascii="Arial" w:hAnsi="Arial" w:cs="Arial"/>
              </w:rPr>
              <w:t>Actividad: Refacciones y Mantenimiento del Módulo de Maquinaria</w:t>
            </w:r>
          </w:p>
        </w:tc>
        <w:tc>
          <w:tcPr>
            <w:tcW w:w="1389" w:type="dxa"/>
          </w:tcPr>
          <w:p w:rsidR="00807BB5" w:rsidRPr="00082E91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082E91" w:rsidRDefault="00FC266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082E91" w:rsidRDefault="00FC266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2E91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082E91" w:rsidRDefault="00DC124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DC124C" w:rsidTr="00183DC4">
        <w:tc>
          <w:tcPr>
            <w:tcW w:w="567" w:type="dxa"/>
            <w:shd w:val="clear" w:color="auto" w:fill="FABF8F" w:themeFill="accent6" w:themeFillTint="99"/>
          </w:tcPr>
          <w:p w:rsidR="00DC124C" w:rsidRPr="00DC124C" w:rsidRDefault="00DC124C" w:rsidP="00371525">
            <w:pPr>
              <w:spacing w:line="360" w:lineRule="auto"/>
              <w:rPr>
                <w:rFonts w:ascii="Arial" w:eastAsia="Times New Roman" w:hAnsi="Arial" w:cs="Arial"/>
                <w:b/>
                <w:color w:val="C00000"/>
                <w:lang w:eastAsia="es-MX"/>
              </w:rPr>
            </w:pPr>
          </w:p>
        </w:tc>
        <w:tc>
          <w:tcPr>
            <w:tcW w:w="3432" w:type="dxa"/>
            <w:shd w:val="clear" w:color="auto" w:fill="FABF8F" w:themeFill="accent6" w:themeFillTint="99"/>
          </w:tcPr>
          <w:p w:rsidR="00DC124C" w:rsidRPr="00183DC4" w:rsidRDefault="00DC124C" w:rsidP="007440CF">
            <w:pPr>
              <w:spacing w:line="360" w:lineRule="auto"/>
              <w:rPr>
                <w:rFonts w:ascii="Arial" w:hAnsi="Arial" w:cs="Arial"/>
                <w:b/>
              </w:rPr>
            </w:pPr>
            <w:r w:rsidRPr="00183DC4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389" w:type="dxa"/>
            <w:shd w:val="clear" w:color="auto" w:fill="FABF8F" w:themeFill="accent6" w:themeFillTint="99"/>
          </w:tcPr>
          <w:p w:rsidR="00DC124C" w:rsidRPr="00183DC4" w:rsidRDefault="00DC124C" w:rsidP="00371525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C124C" w:rsidRPr="00183DC4" w:rsidRDefault="00DC124C" w:rsidP="00371525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DC124C" w:rsidRPr="00183DC4" w:rsidRDefault="00DC124C" w:rsidP="00371525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DC124C" w:rsidRPr="00183DC4" w:rsidRDefault="00DC124C" w:rsidP="00371525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183DC4">
              <w:rPr>
                <w:rFonts w:ascii="Arial" w:eastAsia="Times New Roman" w:hAnsi="Arial" w:cs="Arial"/>
                <w:b/>
                <w:lang w:eastAsia="es-MX"/>
              </w:rPr>
              <w:t>100%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2063FB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7D" w:rsidRDefault="00F63E7D" w:rsidP="005F2963">
      <w:pPr>
        <w:spacing w:after="0" w:line="240" w:lineRule="auto"/>
      </w:pPr>
      <w:r>
        <w:separator/>
      </w:r>
    </w:p>
  </w:endnote>
  <w:endnote w:type="continuationSeparator" w:id="0">
    <w:p w:rsidR="00F63E7D" w:rsidRDefault="00F63E7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7D" w:rsidRDefault="00F63E7D" w:rsidP="005F2963">
      <w:pPr>
        <w:spacing w:after="0" w:line="240" w:lineRule="auto"/>
      </w:pPr>
      <w:r>
        <w:separator/>
      </w:r>
    </w:p>
  </w:footnote>
  <w:footnote w:type="continuationSeparator" w:id="0">
    <w:p w:rsidR="00F63E7D" w:rsidRDefault="00F63E7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0CD8"/>
    <w:multiLevelType w:val="hybridMultilevel"/>
    <w:tmpl w:val="A14C5B70"/>
    <w:lvl w:ilvl="0" w:tplc="BD0CFE5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AF3554"/>
    <w:multiLevelType w:val="hybridMultilevel"/>
    <w:tmpl w:val="6D049C16"/>
    <w:lvl w:ilvl="0" w:tplc="F0767406">
      <w:start w:val="7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632B4"/>
    <w:rsid w:val="00082E91"/>
    <w:rsid w:val="000D238A"/>
    <w:rsid w:val="000D31DF"/>
    <w:rsid w:val="000D7FA1"/>
    <w:rsid w:val="000E2635"/>
    <w:rsid w:val="0010777A"/>
    <w:rsid w:val="00176E9A"/>
    <w:rsid w:val="00183DC4"/>
    <w:rsid w:val="001842E1"/>
    <w:rsid w:val="001B5408"/>
    <w:rsid w:val="002063FB"/>
    <w:rsid w:val="0022271F"/>
    <w:rsid w:val="002252BB"/>
    <w:rsid w:val="00263B61"/>
    <w:rsid w:val="002858D4"/>
    <w:rsid w:val="002A5B99"/>
    <w:rsid w:val="00320F45"/>
    <w:rsid w:val="003245A0"/>
    <w:rsid w:val="0034111B"/>
    <w:rsid w:val="0036615C"/>
    <w:rsid w:val="00375912"/>
    <w:rsid w:val="00390E63"/>
    <w:rsid w:val="00391667"/>
    <w:rsid w:val="003D0DD1"/>
    <w:rsid w:val="003E63C4"/>
    <w:rsid w:val="003F0129"/>
    <w:rsid w:val="0043418C"/>
    <w:rsid w:val="0044034D"/>
    <w:rsid w:val="004C362F"/>
    <w:rsid w:val="004D08E3"/>
    <w:rsid w:val="0053024C"/>
    <w:rsid w:val="005363A2"/>
    <w:rsid w:val="00566BC2"/>
    <w:rsid w:val="00574387"/>
    <w:rsid w:val="00581663"/>
    <w:rsid w:val="005A0969"/>
    <w:rsid w:val="005B54D6"/>
    <w:rsid w:val="005D1BA0"/>
    <w:rsid w:val="005E1609"/>
    <w:rsid w:val="005F2963"/>
    <w:rsid w:val="006072FF"/>
    <w:rsid w:val="00630632"/>
    <w:rsid w:val="00657B6D"/>
    <w:rsid w:val="00683EFC"/>
    <w:rsid w:val="006A4848"/>
    <w:rsid w:val="006E3AEA"/>
    <w:rsid w:val="007107BC"/>
    <w:rsid w:val="007440CF"/>
    <w:rsid w:val="007639AF"/>
    <w:rsid w:val="0078048E"/>
    <w:rsid w:val="007E2E25"/>
    <w:rsid w:val="00807BB5"/>
    <w:rsid w:val="008239D5"/>
    <w:rsid w:val="00832A3E"/>
    <w:rsid w:val="00833C21"/>
    <w:rsid w:val="008615CA"/>
    <w:rsid w:val="00864FC8"/>
    <w:rsid w:val="008977F1"/>
    <w:rsid w:val="0090285E"/>
    <w:rsid w:val="00954F5C"/>
    <w:rsid w:val="009B1596"/>
    <w:rsid w:val="009B2A55"/>
    <w:rsid w:val="009D3D60"/>
    <w:rsid w:val="00A41CDF"/>
    <w:rsid w:val="00A6538A"/>
    <w:rsid w:val="00A659CC"/>
    <w:rsid w:val="00A82C8D"/>
    <w:rsid w:val="00A842E3"/>
    <w:rsid w:val="00A912FA"/>
    <w:rsid w:val="00A950D1"/>
    <w:rsid w:val="00AC1596"/>
    <w:rsid w:val="00B161BB"/>
    <w:rsid w:val="00B22741"/>
    <w:rsid w:val="00B234C3"/>
    <w:rsid w:val="00B31AC4"/>
    <w:rsid w:val="00B63521"/>
    <w:rsid w:val="00B65E9B"/>
    <w:rsid w:val="00B9664E"/>
    <w:rsid w:val="00BB1F7B"/>
    <w:rsid w:val="00C110B1"/>
    <w:rsid w:val="00C36D59"/>
    <w:rsid w:val="00C37CDC"/>
    <w:rsid w:val="00C53CFA"/>
    <w:rsid w:val="00C66B5D"/>
    <w:rsid w:val="00CA05FC"/>
    <w:rsid w:val="00D05699"/>
    <w:rsid w:val="00D30C09"/>
    <w:rsid w:val="00D319A7"/>
    <w:rsid w:val="00D365FD"/>
    <w:rsid w:val="00D85843"/>
    <w:rsid w:val="00DA7E2D"/>
    <w:rsid w:val="00DC124C"/>
    <w:rsid w:val="00DD3C21"/>
    <w:rsid w:val="00E44B51"/>
    <w:rsid w:val="00E57B62"/>
    <w:rsid w:val="00E800E8"/>
    <w:rsid w:val="00EF0820"/>
    <w:rsid w:val="00F63E7D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DC6D-F734-4909-AEA1-DD7B9939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2023-01-06T18:34:00Z</cp:lastPrinted>
  <dcterms:created xsi:type="dcterms:W3CDTF">2023-01-06T19:28:00Z</dcterms:created>
  <dcterms:modified xsi:type="dcterms:W3CDTF">2023-02-02T17:59:00Z</dcterms:modified>
</cp:coreProperties>
</file>