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A1" w:rsidRPr="00D85843" w:rsidRDefault="008369A1" w:rsidP="008369A1">
      <w:pPr>
        <w:spacing w:after="0" w:line="480" w:lineRule="auto"/>
        <w:rPr>
          <w:rFonts w:ascii="Calibri" w:eastAsia="Times New Roman" w:hAnsi="Calibri" w:cs="Times New Roman"/>
          <w:b/>
          <w:color w:val="000000"/>
          <w:lang w:eastAsia="es-MX"/>
        </w:rPr>
      </w:pPr>
      <w:r>
        <w:rPr>
          <w:rFonts w:ascii="Arial" w:hAnsi="Arial" w:cs="Arial"/>
          <w:b/>
          <w:noProof/>
          <w:sz w:val="24"/>
          <w:szCs w:val="24"/>
          <w:lang w:val="es-CO" w:eastAsia="es-CO"/>
        </w:rPr>
        <w:drawing>
          <wp:anchor distT="0" distB="0" distL="114300" distR="114300" simplePos="0" relativeHeight="251661312" behindDoc="1" locked="0" layoutInCell="1" allowOverlap="1" wp14:anchorId="53731095" wp14:editId="005014D3">
            <wp:simplePos x="0" y="0"/>
            <wp:positionH relativeFrom="column">
              <wp:posOffset>114300</wp:posOffset>
            </wp:positionH>
            <wp:positionV relativeFrom="paragraph">
              <wp:posOffset>0</wp:posOffset>
            </wp:positionV>
            <wp:extent cx="1045845" cy="1162050"/>
            <wp:effectExtent l="0" t="0" r="1905" b="0"/>
            <wp:wrapTight wrapText="bothSides">
              <wp:wrapPolygon edited="0">
                <wp:start x="0" y="0"/>
                <wp:lineTo x="0" y="21246"/>
                <wp:lineTo x="21246" y="21246"/>
                <wp:lineTo x="2124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584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0288" behindDoc="0" locked="0" layoutInCell="1" allowOverlap="1" wp14:anchorId="1B3B9D53" wp14:editId="590F353F">
                <wp:simplePos x="0" y="0"/>
                <wp:positionH relativeFrom="column">
                  <wp:posOffset>2455545</wp:posOffset>
                </wp:positionH>
                <wp:positionV relativeFrom="paragraph">
                  <wp:posOffset>-196215</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69A1" w:rsidRDefault="008369A1" w:rsidP="008369A1">
                            <w:pPr>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8369A1" w:rsidRDefault="008369A1" w:rsidP="008369A1">
                            <w:pPr>
                              <w:jc w:val="center"/>
                              <w:rPr>
                                <w:rFonts w:cs="Narkisim"/>
                                <w:b/>
                                <w:sz w:val="26"/>
                                <w:szCs w:val="26"/>
                                <w:lang w:val="es-ES"/>
                              </w:rPr>
                            </w:pPr>
                          </w:p>
                          <w:p w:rsidR="008369A1" w:rsidRDefault="008369A1" w:rsidP="008369A1">
                            <w:pPr>
                              <w:jc w:val="center"/>
                              <w:rPr>
                                <w:rFonts w:cs="Narkisim"/>
                                <w:b/>
                                <w:sz w:val="26"/>
                                <w:szCs w:val="26"/>
                                <w:lang w:val="es-ES"/>
                              </w:rPr>
                            </w:pPr>
                          </w:p>
                          <w:p w:rsidR="008369A1" w:rsidRPr="00B63521" w:rsidRDefault="008369A1" w:rsidP="008369A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1B3B9D53" id="_x0000_t202" coordsize="21600,21600" o:spt="202" path="m,l,21600r21600,l21600,xe">
                <v:stroke joinstyle="miter"/>
                <v:path gradientshapeok="t" o:connecttype="rect"/>
              </v:shapetype>
              <v:shape id="Text Box 8" o:spid="_x0000_s1026" type="#_x0000_t202" style="position:absolute;margin-left:193.35pt;margin-top:-15.45pt;width:174pt;height:28.8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oL2wIAAA0GAAAOAAAAZHJzL2Uyb0RvYy54bWysVFtr2zAUfh/sPwi9p77EiVNTpyRpMga7&#10;QTv2rFhyLCpLnqTE7sb++46kJMtWGGM0AaNzjvSd63dubodWoAPThitZ4uQqxojJSlEudyX+/LAZ&#10;zTAylkhKhJKsxE/M4Nv561c3fVewVDVKUKYRgEhT9F2JG2u7IopM1bCWmCvVMQnGWumWWBD1LqKa&#10;9IDeiiiN42nUK007rSpmDGjvghHPPX5ds8p+rGvDLBIlhtis/2r/3bpvNL8hxU6TruHVMQzyH1G0&#10;hEtweoa6I5agvebPoFpeaWVUba8q1UaqrnnFfA6QTRL/kc19Qzrmc4HimO5cJvNysNWHwyeNOC3x&#10;GCNJWmjRAxssWqoBzVx1+s4UcOm+g2t2ADV02WdquneqejRIqlVD5I4ttFZ9wwiF6BL3Mrp4GnCM&#10;A9n27xUFN2RvlQcaat260kExEKBDl57OnXGhVKBM0/h6FoOpAtt4OsmnvnURKU6vO23sG6Za5A4l&#10;1tB5j04O74x10ZDidMU5M0pwuuFCeMFNG1sJjQ4E5kTYkKHYtxBq0CWx+4VxAT0MVdCfwvAD6yC8&#10;p9/QhUQ9BJ3kkzgU7i+u6eOLum65BXYJ3pYYqndOwHVpLamffUu4CGeokJCuHMzzJpQNpMHC0euh&#10;GX6mvy82kzjPxrNRnk/Go2y8jkfL2WY1WqyS6TRfL1fLdfLDJZtkRcMpZXLtMc2JYkn2byN8JHsg&#10;x5lk5wBdVGoPOd43tEeUu86PJ9dpgkEAlqd5yBoRsYP1VFmNkVb2C7eN55abM4dh9G57bv9s6v5+&#10;gi/QfV8vHEfPcgs3BigVVPJUNU8CN/eBAXbYDkdSbRV9AjpAOH7mYYfCoVH6G0Y97KMSm697ohlG&#10;4q0ESl0nWeYWmBeySZ6CoC8t20sLkRVAldhiFI4rG5bevtN814CnMGdSLYCGNfcMcXwNUUEKToCd&#10;45M57ke31C5lf+vXFp//BAAA//8DAFBLAwQUAAYACAAAACEAa2DxUt8AAAAKAQAADwAAAGRycy9k&#10;b3ducmV2LnhtbEyPwU7DMAyG70i8Q2QkblvKitatNJ3QpHFEo+WyW9aYtqNxSpN1haefOcHR/j/9&#10;/pxtJtuJEQffOlLwMI9AIFXOtFQreC93sxUIHzQZ3TlCBd/oYZPf3mQ6Ne5CbzgWoRZcQj7VCpoQ&#10;+lRKXzVotZ+7HomzDzdYHXgcamkGfeFy28lFFC2l1S3xhUb3uG2w+izOVgGeDoddeGm3r8VpLGUi&#10;f9Zf+1Kp+7vp+QlEwCn8wfCrz+qQs9PRncl40SmIV8uEUQWzOFqDYCKJH3lzVLDgROaZ/P9CfgUA&#10;AP//AwBQSwECLQAUAAYACAAAACEAtoM4kv4AAADhAQAAEwAAAAAAAAAAAAAAAAAAAAAAW0NvbnRl&#10;bnRfVHlwZXNdLnhtbFBLAQItABQABgAIAAAAIQA4/SH/1gAAAJQBAAALAAAAAAAAAAAAAAAAAC8B&#10;AABfcmVscy8ucmVsc1BLAQItABQABgAIAAAAIQC7QOoL2wIAAA0GAAAOAAAAAAAAAAAAAAAAAC4C&#10;AABkcnMvZTJvRG9jLnhtbFBLAQItABQABgAIAAAAIQBrYPFS3wAAAAoBAAAPAAAAAAAAAAAAAAAA&#10;ADUFAABkcnMvZG93bnJldi54bWxQSwUGAAAAAAQABADzAAAAQQYAAAAA&#10;" fillcolor="white [3201]" strokecolor="black [3200]" strokeweight="2.5pt">
                <v:shadow color="#868686"/>
                <v:textbox>
                  <w:txbxContent>
                    <w:p w:rsidR="008369A1" w:rsidRDefault="008369A1" w:rsidP="008369A1">
                      <w:pPr>
                        <w:jc w:val="center"/>
                        <w:rPr>
                          <w:rFonts w:cs="Narkisim"/>
                          <w:b/>
                          <w:sz w:val="26"/>
                          <w:szCs w:val="26"/>
                          <w:lang w:val="es-ES"/>
                        </w:rPr>
                      </w:pPr>
                      <w:r w:rsidRPr="00B63521">
                        <w:rPr>
                          <w:rFonts w:cs="Narkisim"/>
                          <w:b/>
                          <w:sz w:val="26"/>
                          <w:szCs w:val="26"/>
                          <w:lang w:val="es-ES"/>
                        </w:rPr>
                        <w:t>EVALUACIÓN TRIMESTRAL</w:t>
                      </w:r>
                      <w:r>
                        <w:rPr>
                          <w:rFonts w:cs="Narkisim"/>
                          <w:b/>
                          <w:sz w:val="26"/>
                          <w:szCs w:val="26"/>
                          <w:lang w:val="es-ES"/>
                        </w:rPr>
                        <w:t xml:space="preserve"> </w:t>
                      </w:r>
                    </w:p>
                    <w:p w:rsidR="008369A1" w:rsidRDefault="008369A1" w:rsidP="008369A1">
                      <w:pPr>
                        <w:jc w:val="center"/>
                        <w:rPr>
                          <w:rFonts w:cs="Narkisim"/>
                          <w:b/>
                          <w:sz w:val="26"/>
                          <w:szCs w:val="26"/>
                          <w:lang w:val="es-ES"/>
                        </w:rPr>
                      </w:pPr>
                    </w:p>
                    <w:p w:rsidR="008369A1" w:rsidRDefault="008369A1" w:rsidP="008369A1">
                      <w:pPr>
                        <w:jc w:val="center"/>
                        <w:rPr>
                          <w:rFonts w:cs="Narkisim"/>
                          <w:b/>
                          <w:sz w:val="26"/>
                          <w:szCs w:val="26"/>
                          <w:lang w:val="es-ES"/>
                        </w:rPr>
                      </w:pPr>
                    </w:p>
                    <w:p w:rsidR="008369A1" w:rsidRPr="00B63521" w:rsidRDefault="008369A1" w:rsidP="008369A1">
                      <w:pPr>
                        <w:jc w:val="center"/>
                        <w:rPr>
                          <w:rFonts w:cs="Narkisim"/>
                          <w:b/>
                          <w:sz w:val="26"/>
                          <w:szCs w:val="26"/>
                          <w:lang w:val="es-ES"/>
                        </w:rPr>
                      </w:pPr>
                    </w:p>
                  </w:txbxContent>
                </v:textbox>
              </v:shape>
            </w:pict>
          </mc:Fallback>
        </mc:AlternateContent>
      </w:r>
      <w:r>
        <w:rPr>
          <w:rFonts w:ascii="Calibri" w:eastAsia="Times New Roman" w:hAnsi="Calibri" w:cs="Times New Roman"/>
          <w:b/>
          <w:color w:val="000000"/>
          <w:lang w:eastAsia="es-MX"/>
        </w:rPr>
        <w:t xml:space="preserve">  </w:t>
      </w:r>
    </w:p>
    <w:p w:rsidR="008369A1" w:rsidRDefault="008369A1" w:rsidP="008369A1">
      <w:pPr>
        <w:spacing w:after="0" w:line="360" w:lineRule="auto"/>
        <w:rPr>
          <w:rFonts w:ascii="Calibri" w:eastAsia="Times New Roman" w:hAnsi="Calibri" w:cs="Times New Roman"/>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59264" behindDoc="0" locked="0" layoutInCell="1" allowOverlap="1" wp14:anchorId="377A8DAD" wp14:editId="7399ECE0">
                <wp:simplePos x="0" y="0"/>
                <wp:positionH relativeFrom="margin">
                  <wp:align>right</wp:align>
                </wp:positionH>
                <wp:positionV relativeFrom="paragraph">
                  <wp:posOffset>49530</wp:posOffset>
                </wp:positionV>
                <wp:extent cx="5200650" cy="9334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9A1" w:rsidRPr="00320F45" w:rsidRDefault="008369A1" w:rsidP="008369A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/ÁREA: CONTRALORIA CIUDADANA</w:t>
                            </w:r>
                          </w:p>
                          <w:p w:rsidR="008369A1" w:rsidRPr="00320F45" w:rsidRDefault="008369A1" w:rsidP="008369A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Pr>
                                <w:rFonts w:ascii="Calibri" w:eastAsia="Times New Roman" w:hAnsi="Calibri" w:cs="Times New Roman"/>
                                <w:b/>
                                <w:color w:val="000000"/>
                                <w:szCs w:val="20"/>
                                <w:lang w:eastAsia="es-MX"/>
                              </w:rPr>
                              <w:t xml:space="preserve"> JAIME ALEJANDRO MENDOZA LARIOS</w:t>
                            </w:r>
                          </w:p>
                          <w:p w:rsidR="008369A1" w:rsidRPr="00320F45" w:rsidRDefault="008369A1" w:rsidP="008369A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 JULIO- SEPTIEMBRE 2022</w:t>
                            </w:r>
                          </w:p>
                          <w:p w:rsidR="008369A1" w:rsidRDefault="008369A1" w:rsidP="008369A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77A8DAD" id="Text Box 7" o:spid="_x0000_s1027" type="#_x0000_t202" style="position:absolute;margin-left:358.3pt;margin-top:3.9pt;width:409.5pt;height:7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w1gwIAABYFAAAOAAAAZHJzL2Uyb0RvYy54bWysVF1v2yAUfZ+0/4B4T22nThNbcaqmXaZJ&#10;3YfU7gcQwDEaBgYkdlftv++Ck9T7eJim+QED93K4955zWV73rUQHbp3QqsLZRYoRV1QzoXYV/vy4&#10;mSwwcp4oRqRWvMJP3OHr1etXy86UfKobLRm3CECUKztT4cZ7UyaJow1vibvQhisw1tq2xMPS7hJm&#10;SQforUymaXqVdNoyYzXlzsHu3WDEq4hf15z6j3XtuEeywhCbj6ON4zaMyWpJyp0lphH0GAb5hyha&#10;IhRceoa6I56gvRW/QbWCWu107S+obhNd14LymANkk6W/ZPPQEMNjLlAcZ85lcv8Pln44fLJIMOAO&#10;I0VaoOiR9x6tdY/moTqdcSU4PRhw8z1sB8+QqTP3mn5xSOnbhqgdv7FWdw0nDKLLwslkdHTAcQFk&#10;273XDK4he68jUF/bNgBCMRCgA0tPZ2ZCKBQ2Z4HrGZgo2IrLyxzm4QpSnk4b6/xbrlsUJhW2wHxE&#10;J4d75wfXk0uMXkvBNkLKuLC77a206EBAJZv4HdHd2E2q4Kx0ODYgDjsQJNwRbCHcyPpzkU3zdD0t&#10;JpurxXySb/LZpJini0maFeviKs2L/G7zPQSY5WUjGOPqXih+UmCW/x3Dx14YtBM1iDqoz2w6Gyga&#10;R+/GSabx+1OSrfDQkFK0FV6cnUgZiH2jGKRNSk+EHObJz+FHQqAGp3+sSpRBYH7QgO+3/VFvABYk&#10;stXsCXRhNdAGDMNjApNG228YddCYFXZf98RyjOQ7BdoqsjwPnRwX+Ww+hYUdW7ZjC1EUoCrsMRqm&#10;t37o/r2xYtfATYOalb4BPdYiSuUlqqOKofliTseHInT3eB29Xp6z1Q8AAAD//wMAUEsDBBQABgAI&#10;AAAAIQBkNNIr2gAAAAYBAAAPAAAAZHJzL2Rvd25yZXYueG1sTI/BTsMwEETvSPyDtUhcEHWK2iYN&#10;cSpAAnFt6Qds4m0SEa+j2G3Sv2c5wXE0o5k3xW52vbrQGDrPBpaLBBRx7W3HjYHj1/tjBipEZIu9&#10;ZzJwpQC78vamwNz6ifd0OcRGSQmHHA20MQ651qFuyWFY+IFYvJMfHUaRY6PtiJOUu14/JclGO+xY&#10;Floc6K2l+vtwdgZOn9PDejtVH/GY7lebV+zSyl+Nub+bX55BRZrjXxh+8QUdSmGq/JltUL0BORIN&#10;pIIvZrbciq4ktV5loMtC/8cvfwAAAP//AwBQSwECLQAUAAYACAAAACEAtoM4kv4AAADhAQAAEwAA&#10;AAAAAAAAAAAAAAAAAAAAW0NvbnRlbnRfVHlwZXNdLnhtbFBLAQItABQABgAIAAAAIQA4/SH/1gAA&#10;AJQBAAALAAAAAAAAAAAAAAAAAC8BAABfcmVscy8ucmVsc1BLAQItABQABgAIAAAAIQDLaPw1gwIA&#10;ABYFAAAOAAAAAAAAAAAAAAAAAC4CAABkcnMvZTJvRG9jLnhtbFBLAQItABQABgAIAAAAIQBkNNIr&#10;2gAAAAYBAAAPAAAAAAAAAAAAAAAAAN0EAABkcnMvZG93bnJldi54bWxQSwUGAAAAAAQABADzAAAA&#10;5AUAAAAA&#10;" stroked="f">
                <v:textbox>
                  <w:txbxContent>
                    <w:p w:rsidR="008369A1" w:rsidRPr="00320F45" w:rsidRDefault="008369A1" w:rsidP="008369A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/ÁREA: CONTRALORIA CIUDADANA</w:t>
                      </w:r>
                    </w:p>
                    <w:p w:rsidR="008369A1" w:rsidRPr="00320F45" w:rsidRDefault="008369A1" w:rsidP="008369A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Pr>
                          <w:rFonts w:ascii="Calibri" w:eastAsia="Times New Roman" w:hAnsi="Calibri" w:cs="Times New Roman"/>
                          <w:b/>
                          <w:color w:val="000000"/>
                          <w:szCs w:val="20"/>
                          <w:lang w:eastAsia="es-MX"/>
                        </w:rPr>
                        <w:t xml:space="preserve"> JAIME ALEJANDRO MENDOZA LARIOS</w:t>
                      </w:r>
                    </w:p>
                    <w:p w:rsidR="008369A1" w:rsidRPr="00320F45" w:rsidRDefault="008369A1" w:rsidP="008369A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TRIMESTRE: JULIO- SEPTIEMBRE</w:t>
                      </w:r>
                      <w:r>
                        <w:rPr>
                          <w:rFonts w:ascii="Calibri" w:eastAsia="Times New Roman" w:hAnsi="Calibri" w:cs="Times New Roman"/>
                          <w:b/>
                          <w:color w:val="000000"/>
                          <w:szCs w:val="20"/>
                          <w:lang w:eastAsia="es-MX"/>
                        </w:rPr>
                        <w:t xml:space="preserve"> 2022</w:t>
                      </w:r>
                    </w:p>
                    <w:p w:rsidR="008369A1" w:rsidRDefault="008369A1" w:rsidP="008369A1">
                      <w:pPr>
                        <w:rPr>
                          <w:lang w:val="es-ES"/>
                        </w:rPr>
                      </w:pPr>
                    </w:p>
                  </w:txbxContent>
                </v:textbox>
                <w10:wrap anchorx="margin"/>
              </v:shape>
            </w:pict>
          </mc:Fallback>
        </mc:AlternateContent>
      </w:r>
    </w:p>
    <w:p w:rsidR="008369A1" w:rsidRDefault="008369A1" w:rsidP="008369A1">
      <w:pPr>
        <w:pStyle w:val="Prrafodelista"/>
        <w:spacing w:after="0" w:line="360" w:lineRule="auto"/>
        <w:ind w:left="786"/>
        <w:jc w:val="both"/>
        <w:rPr>
          <w:rFonts w:ascii="Arial" w:eastAsia="Times New Roman" w:hAnsi="Arial" w:cs="Arial"/>
          <w:b/>
          <w:color w:val="000000"/>
          <w:lang w:eastAsia="es-MX"/>
        </w:rPr>
      </w:pPr>
    </w:p>
    <w:p w:rsidR="008369A1" w:rsidRDefault="008369A1" w:rsidP="008369A1">
      <w:pPr>
        <w:pStyle w:val="Prrafodelista"/>
        <w:spacing w:after="0" w:line="360" w:lineRule="auto"/>
        <w:ind w:left="786"/>
        <w:jc w:val="both"/>
        <w:rPr>
          <w:rFonts w:ascii="Arial" w:eastAsia="Times New Roman" w:hAnsi="Arial" w:cs="Arial"/>
          <w:b/>
          <w:color w:val="000000"/>
          <w:lang w:eastAsia="es-MX"/>
        </w:rPr>
      </w:pPr>
    </w:p>
    <w:p w:rsidR="008369A1" w:rsidRDefault="008369A1" w:rsidP="008369A1">
      <w:pPr>
        <w:pStyle w:val="Prrafodelista"/>
        <w:spacing w:after="0" w:line="360" w:lineRule="auto"/>
        <w:ind w:left="786"/>
        <w:jc w:val="both"/>
        <w:rPr>
          <w:rFonts w:ascii="Arial" w:eastAsia="Times New Roman" w:hAnsi="Arial" w:cs="Arial"/>
          <w:b/>
          <w:color w:val="000000"/>
          <w:lang w:eastAsia="es-MX"/>
        </w:rPr>
      </w:pPr>
    </w:p>
    <w:p w:rsidR="008369A1" w:rsidRDefault="008369A1" w:rsidP="008369A1">
      <w:pPr>
        <w:pStyle w:val="Prrafodelista"/>
        <w:spacing w:after="0" w:line="360" w:lineRule="auto"/>
        <w:ind w:left="786"/>
        <w:jc w:val="both"/>
        <w:rPr>
          <w:rFonts w:ascii="Arial" w:eastAsia="Times New Roman" w:hAnsi="Arial" w:cs="Arial"/>
          <w:b/>
          <w:color w:val="000000"/>
          <w:lang w:eastAsia="es-MX"/>
        </w:rPr>
      </w:pPr>
    </w:p>
    <w:p w:rsidR="008369A1" w:rsidRDefault="008369A1" w:rsidP="008369A1">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¿Cuáles fueron las acciones proyectadas (obras, proyectos o programas) o Planeadas para este trimestre?</w:t>
      </w:r>
    </w:p>
    <w:p w:rsidR="008369A1" w:rsidRPr="00EC3E96" w:rsidRDefault="00EC3E96" w:rsidP="008369A1">
      <w:pPr>
        <w:pStyle w:val="Prrafodelista"/>
        <w:numPr>
          <w:ilvl w:val="0"/>
          <w:numId w:val="4"/>
        </w:numPr>
        <w:jc w:val="both"/>
        <w:rPr>
          <w:rFonts w:ascii="Arial" w:eastAsia="Calibri" w:hAnsi="Arial" w:cs="Arial"/>
        </w:rPr>
      </w:pPr>
      <w:r w:rsidRPr="00972EC3">
        <w:rPr>
          <w:rFonts w:ascii="Arial" w:hAnsi="Arial" w:cs="Arial"/>
          <w:szCs w:val="20"/>
        </w:rPr>
        <w:t>El Formar parte del comité de adjudicación de obra es de</w:t>
      </w:r>
      <w:r>
        <w:rPr>
          <w:rFonts w:ascii="Arial" w:hAnsi="Arial" w:cs="Arial"/>
          <w:szCs w:val="20"/>
        </w:rPr>
        <w:t xml:space="preserve"> mucha importancia toda vez que, </w:t>
      </w:r>
      <w:r w:rsidRPr="00972EC3">
        <w:rPr>
          <w:rFonts w:ascii="Arial" w:hAnsi="Arial" w:cs="Arial"/>
          <w:szCs w:val="20"/>
        </w:rPr>
        <w:t>por medio de este, es posible, poder revisar presupuestos bien ejercidos, expedientes técnicos, programas de obra, contrataciones, proveedores, contratistas etc. a fin de prevenir actos de corrupción.</w:t>
      </w:r>
    </w:p>
    <w:p w:rsidR="00EC3E96" w:rsidRPr="00EC3E96" w:rsidRDefault="00EC3E96" w:rsidP="008369A1">
      <w:pPr>
        <w:pStyle w:val="Prrafodelista"/>
        <w:numPr>
          <w:ilvl w:val="0"/>
          <w:numId w:val="4"/>
        </w:numPr>
        <w:jc w:val="both"/>
        <w:rPr>
          <w:rFonts w:ascii="Arial" w:eastAsia="Calibri" w:hAnsi="Arial" w:cs="Arial"/>
        </w:rPr>
      </w:pPr>
      <w:r w:rsidRPr="00972EC3">
        <w:rPr>
          <w:rFonts w:ascii="Arial" w:hAnsi="Arial" w:cs="Arial"/>
          <w:szCs w:val="20"/>
        </w:rPr>
        <w:t>Revisar a detalle, expedientes técnicos de obra, presupuestos bien ejecutados, concursos de obra,</w:t>
      </w:r>
      <w:r>
        <w:rPr>
          <w:rFonts w:ascii="Arial" w:hAnsi="Arial" w:cs="Arial"/>
          <w:szCs w:val="20"/>
        </w:rPr>
        <w:t xml:space="preserve"> inspeccionar y dar seguimiento</w:t>
      </w:r>
      <w:r w:rsidRPr="00972EC3">
        <w:rPr>
          <w:rFonts w:ascii="Arial" w:hAnsi="Arial" w:cs="Arial"/>
          <w:szCs w:val="20"/>
        </w:rPr>
        <w:t xml:space="preserve"> a las obras en proceso, comparar avances físicos y financieros de la obra.</w:t>
      </w:r>
    </w:p>
    <w:p w:rsidR="00EC3E96" w:rsidRPr="00EC3E96" w:rsidRDefault="00EC3E96" w:rsidP="00EC3E96">
      <w:pPr>
        <w:pStyle w:val="Prrafodelista"/>
        <w:widowControl w:val="0"/>
        <w:numPr>
          <w:ilvl w:val="0"/>
          <w:numId w:val="4"/>
        </w:numPr>
        <w:tabs>
          <w:tab w:val="left" w:pos="1098"/>
        </w:tabs>
        <w:jc w:val="both"/>
        <w:rPr>
          <w:rFonts w:ascii="Arial" w:hAnsi="Arial" w:cs="Arial"/>
          <w:szCs w:val="20"/>
        </w:rPr>
      </w:pPr>
      <w:r w:rsidRPr="00EC3E96">
        <w:rPr>
          <w:rFonts w:ascii="Arial" w:hAnsi="Arial" w:cs="Arial"/>
          <w:szCs w:val="20"/>
        </w:rPr>
        <w:t>Establecer las bases generales para la realización de auditorías en las dependencias, organismos y entidades públicas municipales; a fin de vigilar y supervisar que se ejerzan de manera eficiente y eficaz los recursos públicos y prevenir actos de corrupción.</w:t>
      </w:r>
    </w:p>
    <w:p w:rsidR="00EC3E96" w:rsidRPr="00EC3E96" w:rsidRDefault="00EC3E96" w:rsidP="00EC3E96">
      <w:pPr>
        <w:pStyle w:val="Prrafodelista"/>
        <w:numPr>
          <w:ilvl w:val="0"/>
          <w:numId w:val="4"/>
        </w:numPr>
        <w:jc w:val="both"/>
        <w:rPr>
          <w:rFonts w:ascii="Arial" w:eastAsia="Calibri" w:hAnsi="Arial" w:cs="Arial"/>
        </w:rPr>
      </w:pPr>
      <w:r w:rsidRPr="00EC3E96">
        <w:rPr>
          <w:rFonts w:ascii="Arial" w:eastAsia="Calibri" w:hAnsi="Arial" w:cs="Arial"/>
        </w:rPr>
        <w:t>Estableciendo criterios y lineamientos que nos permitan vigilar que todo servidor público se desempeñe con legalidad, honradez, lealtad, imparcialidad y eficiencia en el ejercicio de sus funciones.</w:t>
      </w:r>
    </w:p>
    <w:p w:rsidR="00EC3E96" w:rsidRPr="00EC3E96" w:rsidRDefault="00EC3E96" w:rsidP="008369A1">
      <w:pPr>
        <w:pStyle w:val="Prrafodelista"/>
        <w:numPr>
          <w:ilvl w:val="0"/>
          <w:numId w:val="4"/>
        </w:numPr>
        <w:jc w:val="both"/>
        <w:rPr>
          <w:rFonts w:ascii="Arial" w:eastAsia="Calibri" w:hAnsi="Arial" w:cs="Arial"/>
        </w:rPr>
      </w:pPr>
      <w:r w:rsidRPr="002E04D1">
        <w:rPr>
          <w:rFonts w:ascii="Arial" w:hAnsi="Arial" w:cs="Arial"/>
          <w:szCs w:val="20"/>
        </w:rPr>
        <w:t>Solicitar, informar y asesor</w:t>
      </w:r>
      <w:r w:rsidR="00CB3970">
        <w:rPr>
          <w:rFonts w:ascii="Arial" w:hAnsi="Arial" w:cs="Arial"/>
          <w:szCs w:val="20"/>
        </w:rPr>
        <w:t>ar</w:t>
      </w:r>
      <w:r w:rsidRPr="002E04D1">
        <w:rPr>
          <w:rFonts w:ascii="Arial" w:hAnsi="Arial" w:cs="Arial"/>
          <w:szCs w:val="20"/>
        </w:rPr>
        <w:t xml:space="preserve"> a los servidores públicos sobre la obligación de presentar su declaración patrimonial y de intereses dentro de los 60 días contados a partir de tomar su cargo con el fin de que cumplan todos en tiempo y forma de acuerdo a lo dispuesto por la Ley correspondiente.</w:t>
      </w:r>
    </w:p>
    <w:p w:rsidR="00EC3E96" w:rsidRPr="00EC3E96" w:rsidRDefault="00EC3E96" w:rsidP="00EC3E96">
      <w:pPr>
        <w:pStyle w:val="Prrafodelista"/>
        <w:numPr>
          <w:ilvl w:val="0"/>
          <w:numId w:val="4"/>
        </w:numPr>
        <w:autoSpaceDE w:val="0"/>
        <w:autoSpaceDN w:val="0"/>
        <w:adjustRightInd w:val="0"/>
        <w:jc w:val="both"/>
        <w:rPr>
          <w:rFonts w:ascii="Arial" w:hAnsi="Arial" w:cs="Arial"/>
          <w:bCs/>
        </w:rPr>
      </w:pPr>
      <w:r w:rsidRPr="00EC3E96">
        <w:rPr>
          <w:rFonts w:ascii="Arial" w:hAnsi="Arial" w:cs="Arial"/>
          <w:bCs/>
        </w:rPr>
        <w:t xml:space="preserve">Implementar sistemas y normas de control administrativo para prevenir la comisión de delitos y faltas administrativas de cualquier servidor públicos en funciones, a fin de armonizar el clima laboral en la administración Pública municipal. </w:t>
      </w:r>
    </w:p>
    <w:p w:rsidR="00EC3E96" w:rsidRPr="008369A1" w:rsidRDefault="00EC3E96" w:rsidP="00EC3E96">
      <w:pPr>
        <w:pStyle w:val="Prrafodelista"/>
        <w:ind w:left="1506"/>
        <w:jc w:val="both"/>
        <w:rPr>
          <w:rFonts w:ascii="Arial" w:eastAsia="Calibri" w:hAnsi="Arial" w:cs="Arial"/>
        </w:rPr>
      </w:pPr>
    </w:p>
    <w:p w:rsidR="008369A1" w:rsidRDefault="008369A1" w:rsidP="008369A1">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 xml:space="preserve">Resultados Trimestrales (Describir cuáles fueron los programas, proyectos, actividades y/o obras que se realizaron en este trimestre). </w:t>
      </w:r>
    </w:p>
    <w:p w:rsidR="00EC3E96" w:rsidRPr="00EC3E96" w:rsidRDefault="00EC3E96" w:rsidP="00EC3E96">
      <w:pPr>
        <w:pStyle w:val="Prrafodelista"/>
        <w:numPr>
          <w:ilvl w:val="0"/>
          <w:numId w:val="4"/>
        </w:numPr>
        <w:jc w:val="both"/>
        <w:rPr>
          <w:rFonts w:ascii="Arial" w:eastAsia="Calibri" w:hAnsi="Arial" w:cs="Arial"/>
        </w:rPr>
      </w:pPr>
      <w:r w:rsidRPr="00EC3E96">
        <w:rPr>
          <w:rFonts w:ascii="Arial" w:eastAsia="Times New Roman" w:hAnsi="Arial" w:cs="Arial"/>
          <w:color w:val="000000"/>
          <w:lang w:eastAsia="es-MX"/>
        </w:rPr>
        <w:t xml:space="preserve">En relación al tema de revisión de </w:t>
      </w:r>
      <w:r w:rsidRPr="00972EC3">
        <w:rPr>
          <w:rFonts w:ascii="Arial" w:hAnsi="Arial" w:cs="Arial"/>
          <w:szCs w:val="20"/>
        </w:rPr>
        <w:t>expedientes de obra, presupuestos, concursos de obra,</w:t>
      </w:r>
      <w:r>
        <w:rPr>
          <w:rFonts w:ascii="Arial" w:hAnsi="Arial" w:cs="Arial"/>
          <w:szCs w:val="20"/>
        </w:rPr>
        <w:t xml:space="preserve"> etc. a resultado de mucha utilidad toda vez que de parte de Contraloría Ciudadana se están implementado estándares de calidad y sobre todo pidiendo que la documentación se encuentre apegada a la ley, con el fin de mantener un mejor respaldo interno y evitar futuras observaciones de la ASEJ.</w:t>
      </w:r>
    </w:p>
    <w:p w:rsidR="00EC3E96" w:rsidRDefault="00377FCE" w:rsidP="00EC3E96">
      <w:pPr>
        <w:pStyle w:val="Prrafodelista"/>
        <w:numPr>
          <w:ilvl w:val="0"/>
          <w:numId w:val="5"/>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Respecto al tema de auditorías internas, se han realizado 3 en lo que va del año, de las cuales solo en una de ellas se tuvo la necesidad de llevar a cabo un procedimiento de investigación para definir si existe responsabilidad administrativa de alguno de los servidores públicos auditados. De igual manera, seguimos trabajando en la implementación de un manual de organización y procedimientos para el departamento de Auditoria; mismo que nos servirá para reforzar el procedimiento de las mismas.</w:t>
      </w:r>
    </w:p>
    <w:p w:rsidR="00C4102E" w:rsidRPr="00A42C2C" w:rsidRDefault="00C4102E" w:rsidP="00C4102E">
      <w:pPr>
        <w:pStyle w:val="Sinespaciado"/>
        <w:numPr>
          <w:ilvl w:val="0"/>
          <w:numId w:val="5"/>
        </w:numPr>
        <w:spacing w:line="276" w:lineRule="auto"/>
        <w:jc w:val="both"/>
        <w:rPr>
          <w:rFonts w:ascii="Arial" w:hAnsi="Arial" w:cs="Arial"/>
          <w:sz w:val="24"/>
          <w:szCs w:val="24"/>
          <w:lang w:val="es-ES"/>
        </w:rPr>
      </w:pPr>
      <w:r w:rsidRPr="00BD45F5">
        <w:rPr>
          <w:rFonts w:ascii="Arial" w:eastAsia="Times New Roman" w:hAnsi="Arial" w:cs="Arial"/>
          <w:color w:val="000000"/>
          <w:lang w:val="es-CO" w:eastAsia="es-MX"/>
        </w:rPr>
        <w:t xml:space="preserve">Hasta el memento se tiene </w:t>
      </w:r>
      <w:r>
        <w:rPr>
          <w:rFonts w:ascii="Arial" w:hAnsi="Arial" w:cs="Arial"/>
          <w:sz w:val="24"/>
          <w:szCs w:val="24"/>
          <w:lang w:val="es-ES"/>
        </w:rPr>
        <w:t>un registro de 28</w:t>
      </w:r>
      <w:r w:rsidRPr="00F743A5">
        <w:rPr>
          <w:rFonts w:ascii="Arial" w:hAnsi="Arial" w:cs="Arial"/>
          <w:sz w:val="24"/>
          <w:szCs w:val="24"/>
          <w:lang w:val="es-ES"/>
        </w:rPr>
        <w:t xml:space="preserve"> procedimientos en etapa de investigación, respecto a diversas faltas conforme a la Ley General de Responsabilidades Administrativas, </w:t>
      </w:r>
      <w:r>
        <w:rPr>
          <w:rFonts w:ascii="Arial" w:hAnsi="Arial" w:cs="Arial"/>
          <w:sz w:val="24"/>
          <w:szCs w:val="24"/>
          <w:lang w:val="es-ES"/>
        </w:rPr>
        <w:t>y la</w:t>
      </w:r>
      <w:r w:rsidRPr="00F743A5">
        <w:rPr>
          <w:rFonts w:ascii="Arial" w:hAnsi="Arial" w:cs="Arial"/>
          <w:sz w:val="24"/>
          <w:szCs w:val="24"/>
          <w:lang w:val="es-ES"/>
        </w:rPr>
        <w:t xml:space="preserve"> Ley de Responsabilidades Políticas y Admini</w:t>
      </w:r>
      <w:r>
        <w:rPr>
          <w:rFonts w:ascii="Arial" w:hAnsi="Arial" w:cs="Arial"/>
          <w:sz w:val="24"/>
          <w:szCs w:val="24"/>
          <w:lang w:val="es-ES"/>
        </w:rPr>
        <w:t>strativas del Estado de Jalisco:</w:t>
      </w:r>
    </w:p>
    <w:p w:rsidR="00C4102E" w:rsidRPr="00F743A5" w:rsidRDefault="00C4102E" w:rsidP="00C4102E">
      <w:pPr>
        <w:pStyle w:val="Sinespaciado"/>
        <w:jc w:val="both"/>
        <w:rPr>
          <w:rFonts w:ascii="Arial" w:hAnsi="Arial" w:cs="Arial"/>
          <w:sz w:val="24"/>
          <w:szCs w:val="24"/>
          <w:lang w:val="es-ES"/>
        </w:rPr>
      </w:pPr>
    </w:p>
    <w:p w:rsidR="00C4102E" w:rsidRDefault="00C4102E" w:rsidP="00C4102E">
      <w:pPr>
        <w:pStyle w:val="Sinespaciado"/>
        <w:numPr>
          <w:ilvl w:val="0"/>
          <w:numId w:val="6"/>
        </w:numPr>
        <w:jc w:val="both"/>
        <w:rPr>
          <w:rFonts w:ascii="Arial" w:hAnsi="Arial" w:cs="Arial"/>
          <w:sz w:val="24"/>
          <w:szCs w:val="24"/>
          <w:lang w:val="es-ES"/>
        </w:rPr>
      </w:pPr>
      <w:r>
        <w:rPr>
          <w:rFonts w:ascii="Arial" w:hAnsi="Arial" w:cs="Arial"/>
          <w:sz w:val="24"/>
          <w:szCs w:val="24"/>
          <w:lang w:val="es-ES"/>
        </w:rPr>
        <w:t>3 procedimientos de responsabilidad administrativa concluidos;</w:t>
      </w:r>
    </w:p>
    <w:p w:rsidR="00C4102E" w:rsidRPr="00283754" w:rsidRDefault="00C4102E" w:rsidP="00C4102E">
      <w:pPr>
        <w:pStyle w:val="Sinespaciado"/>
        <w:numPr>
          <w:ilvl w:val="0"/>
          <w:numId w:val="6"/>
        </w:numPr>
        <w:jc w:val="both"/>
        <w:rPr>
          <w:rFonts w:ascii="Arial" w:hAnsi="Arial" w:cs="Arial"/>
          <w:sz w:val="24"/>
          <w:szCs w:val="24"/>
          <w:lang w:val="es-ES"/>
        </w:rPr>
      </w:pPr>
      <w:r>
        <w:rPr>
          <w:rFonts w:ascii="Arial" w:hAnsi="Arial" w:cs="Arial"/>
          <w:sz w:val="24"/>
          <w:szCs w:val="24"/>
          <w:lang w:val="es-ES"/>
        </w:rPr>
        <w:t>11 procedimientos con informe de presunta responsabilidad</w:t>
      </w:r>
    </w:p>
    <w:p w:rsidR="00C4102E" w:rsidRDefault="00C4102E" w:rsidP="00C4102E">
      <w:pPr>
        <w:pStyle w:val="Sinespaciado"/>
        <w:numPr>
          <w:ilvl w:val="0"/>
          <w:numId w:val="6"/>
        </w:numPr>
        <w:jc w:val="both"/>
        <w:rPr>
          <w:rFonts w:ascii="Arial" w:hAnsi="Arial" w:cs="Arial"/>
          <w:sz w:val="24"/>
          <w:szCs w:val="24"/>
          <w:lang w:val="es-ES"/>
        </w:rPr>
      </w:pPr>
      <w:r>
        <w:rPr>
          <w:rFonts w:ascii="Arial" w:hAnsi="Arial" w:cs="Arial"/>
          <w:sz w:val="24"/>
          <w:szCs w:val="24"/>
          <w:lang w:val="es-ES"/>
        </w:rPr>
        <w:t>14 procedimientos en etapa de investigación</w:t>
      </w:r>
    </w:p>
    <w:p w:rsidR="00C4102E" w:rsidRDefault="00C4102E" w:rsidP="00C4102E">
      <w:pPr>
        <w:pStyle w:val="Sinespaciado"/>
        <w:numPr>
          <w:ilvl w:val="0"/>
          <w:numId w:val="6"/>
        </w:numPr>
        <w:jc w:val="both"/>
        <w:rPr>
          <w:rFonts w:ascii="Arial" w:hAnsi="Arial" w:cs="Arial"/>
          <w:sz w:val="24"/>
          <w:szCs w:val="24"/>
          <w:lang w:val="es-ES"/>
        </w:rPr>
      </w:pPr>
      <w:r>
        <w:rPr>
          <w:rFonts w:ascii="Arial" w:hAnsi="Arial" w:cs="Arial"/>
          <w:sz w:val="24"/>
          <w:szCs w:val="24"/>
          <w:lang w:val="es-ES"/>
        </w:rPr>
        <w:t xml:space="preserve">1 Resolución definitiva con sanción. </w:t>
      </w:r>
    </w:p>
    <w:p w:rsidR="00C4102E" w:rsidRPr="00EC3E96" w:rsidRDefault="00C4102E" w:rsidP="00C4102E">
      <w:pPr>
        <w:pStyle w:val="Prrafodelista"/>
        <w:spacing w:after="0" w:line="360" w:lineRule="auto"/>
        <w:ind w:left="1506"/>
        <w:jc w:val="both"/>
        <w:rPr>
          <w:rFonts w:ascii="Arial" w:eastAsia="Times New Roman" w:hAnsi="Arial" w:cs="Arial"/>
          <w:color w:val="000000"/>
          <w:lang w:eastAsia="es-MX"/>
        </w:rPr>
      </w:pPr>
    </w:p>
    <w:p w:rsidR="008369A1" w:rsidRDefault="008369A1" w:rsidP="008369A1">
      <w:pPr>
        <w:spacing w:after="0" w:line="360" w:lineRule="auto"/>
        <w:rPr>
          <w:rFonts w:ascii="Arial" w:eastAsia="Times New Roman" w:hAnsi="Arial" w:cs="Arial"/>
          <w:b/>
          <w:color w:val="000000"/>
          <w:sz w:val="20"/>
          <w:lang w:eastAsia="es-MX"/>
        </w:rPr>
      </w:pPr>
    </w:p>
    <w:p w:rsidR="008369A1" w:rsidRDefault="008369A1" w:rsidP="008369A1">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lastRenderedPageBreak/>
        <w:t>Montos (si los hubiera) del desarrollo de dichas actividades. ¿Se ajustó a lo presupuestado?</w:t>
      </w:r>
    </w:p>
    <w:p w:rsidR="008369A1" w:rsidRPr="00B92E83" w:rsidRDefault="008369A1" w:rsidP="008369A1">
      <w:pPr>
        <w:pStyle w:val="Prrafodelista"/>
        <w:spacing w:after="0" w:line="360" w:lineRule="auto"/>
        <w:ind w:left="786"/>
        <w:jc w:val="both"/>
        <w:rPr>
          <w:rFonts w:ascii="Arial" w:eastAsia="Times New Roman" w:hAnsi="Arial" w:cs="Arial"/>
          <w:b/>
          <w:color w:val="000000"/>
          <w:lang w:eastAsia="es-MX"/>
        </w:rPr>
      </w:pPr>
    </w:p>
    <w:p w:rsidR="008369A1" w:rsidRPr="00B14051" w:rsidRDefault="008369A1" w:rsidP="008369A1">
      <w:pPr>
        <w:pStyle w:val="Prrafodelista"/>
        <w:numPr>
          <w:ilvl w:val="0"/>
          <w:numId w:val="2"/>
        </w:numPr>
        <w:spacing w:after="0" w:line="360" w:lineRule="auto"/>
        <w:jc w:val="both"/>
        <w:rPr>
          <w:rFonts w:ascii="Arial" w:eastAsia="Times New Roman" w:hAnsi="Arial" w:cs="Arial"/>
          <w:b/>
          <w:color w:val="000000"/>
          <w:sz w:val="20"/>
          <w:lang w:eastAsia="es-MX"/>
        </w:rPr>
      </w:pPr>
      <w:r w:rsidRPr="00B14051">
        <w:rPr>
          <w:rFonts w:ascii="Arial" w:eastAsia="Times New Roman" w:hAnsi="Arial" w:cs="Arial"/>
          <w:color w:val="000000"/>
          <w:sz w:val="20"/>
          <w:lang w:eastAsia="es-MX"/>
        </w:rPr>
        <w:t>No hubo necesidad de invertir, todo se ha hecho con recursos humanos, y vía digital</w:t>
      </w:r>
    </w:p>
    <w:p w:rsidR="008369A1" w:rsidRPr="00832A3E" w:rsidRDefault="008369A1" w:rsidP="008369A1">
      <w:pPr>
        <w:spacing w:after="0" w:line="360" w:lineRule="auto"/>
        <w:jc w:val="both"/>
        <w:rPr>
          <w:rFonts w:ascii="Arial" w:eastAsia="Times New Roman" w:hAnsi="Arial" w:cs="Arial"/>
          <w:b/>
          <w:color w:val="000000"/>
          <w:lang w:eastAsia="es-MX"/>
        </w:rPr>
      </w:pPr>
    </w:p>
    <w:p w:rsidR="008369A1" w:rsidRDefault="008369A1" w:rsidP="008369A1">
      <w:pPr>
        <w:pStyle w:val="Prrafodelista"/>
        <w:numPr>
          <w:ilvl w:val="0"/>
          <w:numId w:val="1"/>
        </w:numPr>
        <w:spacing w:after="0" w:line="360" w:lineRule="auto"/>
        <w:jc w:val="both"/>
        <w:rPr>
          <w:rFonts w:ascii="Arial" w:eastAsia="Times New Roman" w:hAnsi="Arial" w:cs="Arial"/>
          <w:b/>
          <w:color w:val="000000"/>
          <w:lang w:eastAsia="es-MX"/>
        </w:rPr>
      </w:pPr>
      <w:r w:rsidRPr="00B92E83">
        <w:rPr>
          <w:rFonts w:ascii="Arial" w:eastAsia="Times New Roman" w:hAnsi="Arial" w:cs="Arial"/>
          <w:b/>
          <w:color w:val="000000"/>
          <w:lang w:eastAsia="es-MX"/>
        </w:rPr>
        <w:t>En que beneficia a la población o un grupo en específico lo desarrollado en este trimestre.</w:t>
      </w:r>
    </w:p>
    <w:p w:rsidR="008369A1" w:rsidRPr="00B14051" w:rsidRDefault="008369A1" w:rsidP="008369A1">
      <w:pPr>
        <w:pStyle w:val="Prrafodelista"/>
        <w:spacing w:after="0" w:line="360" w:lineRule="auto"/>
        <w:ind w:left="786"/>
        <w:jc w:val="both"/>
        <w:rPr>
          <w:rFonts w:ascii="Arial" w:eastAsia="Times New Roman" w:hAnsi="Arial" w:cs="Arial"/>
          <w:color w:val="000000"/>
          <w:sz w:val="20"/>
          <w:lang w:eastAsia="es-MX"/>
        </w:rPr>
      </w:pPr>
      <w:r w:rsidRPr="00B14051">
        <w:rPr>
          <w:rFonts w:ascii="Arial" w:eastAsia="Times New Roman" w:hAnsi="Arial" w:cs="Arial"/>
          <w:color w:val="000000"/>
          <w:sz w:val="20"/>
          <w:lang w:eastAsia="es-MX"/>
        </w:rPr>
        <w:t xml:space="preserve">De manera directa nuestra área atiende en su mayor parte, asuntos internos, asuntos relacionados con la conducta de los funcionarios o servidores públicos; por lo </w:t>
      </w:r>
      <w:r w:rsidR="00DD4040" w:rsidRPr="00B14051">
        <w:rPr>
          <w:rFonts w:ascii="Arial" w:eastAsia="Times New Roman" w:hAnsi="Arial" w:cs="Arial"/>
          <w:color w:val="000000"/>
          <w:sz w:val="20"/>
          <w:lang w:eastAsia="es-MX"/>
        </w:rPr>
        <w:t>tanto,</w:t>
      </w:r>
      <w:r w:rsidRPr="00B14051">
        <w:rPr>
          <w:rFonts w:ascii="Arial" w:eastAsia="Times New Roman" w:hAnsi="Arial" w:cs="Arial"/>
          <w:color w:val="000000"/>
          <w:sz w:val="20"/>
          <w:lang w:eastAsia="es-MX"/>
        </w:rPr>
        <w:t xml:space="preserve"> el beneficio es directamente para la administración Publica, en cuanto a la solución de problemas, si bien es cierto también atendemos denuncias o quejas ciudadanas de las cuales no hemos recibido hasta ahora alguna.</w:t>
      </w:r>
    </w:p>
    <w:p w:rsidR="008369A1" w:rsidRPr="00697FF6" w:rsidRDefault="008369A1" w:rsidP="008369A1">
      <w:pPr>
        <w:pStyle w:val="Prrafodelista"/>
        <w:spacing w:after="0" w:line="360" w:lineRule="auto"/>
        <w:ind w:left="786"/>
        <w:jc w:val="both"/>
        <w:rPr>
          <w:rFonts w:ascii="Arial" w:eastAsia="Times New Roman" w:hAnsi="Arial" w:cs="Arial"/>
          <w:color w:val="000000"/>
          <w:lang w:eastAsia="es-MX"/>
        </w:rPr>
      </w:pPr>
    </w:p>
    <w:p w:rsidR="008369A1" w:rsidRDefault="008369A1" w:rsidP="008369A1">
      <w:pPr>
        <w:pStyle w:val="Prrafodelista"/>
        <w:numPr>
          <w:ilvl w:val="0"/>
          <w:numId w:val="1"/>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t>¿A qué programa de su POA pertenecen las acciones realizadas y a que Ejes del Plan M</w:t>
      </w:r>
      <w:r>
        <w:rPr>
          <w:rFonts w:ascii="Arial" w:eastAsia="Times New Roman" w:hAnsi="Arial" w:cs="Arial"/>
          <w:b/>
          <w:color w:val="000000"/>
          <w:lang w:eastAsia="es-MX"/>
        </w:rPr>
        <w:t>unicipal de Desarrollo 2021</w:t>
      </w:r>
      <w:r w:rsidRPr="008D7641">
        <w:rPr>
          <w:rFonts w:ascii="Arial" w:eastAsia="Times New Roman" w:hAnsi="Arial" w:cs="Arial"/>
          <w:b/>
          <w:color w:val="000000"/>
          <w:lang w:eastAsia="es-MX"/>
        </w:rPr>
        <w:t>-2024 se alinean?</w:t>
      </w:r>
    </w:p>
    <w:p w:rsidR="008369A1" w:rsidRDefault="008369A1" w:rsidP="008369A1">
      <w:pPr>
        <w:pStyle w:val="Prrafodelista"/>
        <w:spacing w:after="0" w:line="360" w:lineRule="auto"/>
        <w:ind w:left="786"/>
        <w:jc w:val="both"/>
        <w:rPr>
          <w:rFonts w:ascii="Arial" w:eastAsia="Times New Roman" w:hAnsi="Arial" w:cs="Arial"/>
          <w:b/>
          <w:color w:val="000000"/>
          <w:lang w:eastAsia="es-MX"/>
        </w:rPr>
      </w:pPr>
    </w:p>
    <w:p w:rsidR="008369A1" w:rsidRDefault="008369A1" w:rsidP="008369A1">
      <w:pPr>
        <w:spacing w:after="0" w:line="360" w:lineRule="auto"/>
        <w:ind w:left="426"/>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7E37">
        <w:rPr>
          <w:rFonts w:ascii="Arial" w:hAnsi="Arial" w:cs="Arial"/>
          <w:b/>
          <w:sz w:val="20"/>
          <w:szCs w:val="20"/>
        </w:rPr>
        <w:t>Programa:</w:t>
      </w:r>
      <w:r>
        <w:rPr>
          <w:rFonts w:ascii="Arial" w:hAnsi="Arial" w:cs="Arial"/>
          <w:sz w:val="20"/>
          <w:szCs w:val="20"/>
        </w:rPr>
        <w:t xml:space="preserve"> </w:t>
      </w:r>
      <w:r w:rsidR="00DD4040">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DD4040" w:rsidRPr="002D6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ortalecimiento y mantenimiento del control interno de las dependencias y entidades del municipio, como parte de la estrategia preventiva del sistema estatal anticorrupción.</w:t>
      </w:r>
    </w:p>
    <w:p w:rsidR="00DD4040" w:rsidRPr="002D64ED" w:rsidRDefault="00DD4040" w:rsidP="00DD4040">
      <w:pPr>
        <w:jc w:val="both"/>
        <w:rPr>
          <w:rFonts w:ascii="Arial" w:hAnsi="Arial" w:cs="Arial"/>
          <w:sz w:val="20"/>
          <w:szCs w:val="20"/>
        </w:rPr>
      </w:pPr>
      <w:r>
        <w:rPr>
          <w:rFonts w:ascii="Arial" w:hAnsi="Arial" w:cs="Arial"/>
          <w:b/>
          <w:sz w:val="20"/>
          <w:szCs w:val="20"/>
        </w:rPr>
        <w:t xml:space="preserve">       </w:t>
      </w:r>
      <w:r w:rsidRPr="002D64ED">
        <w:rPr>
          <w:rFonts w:ascii="Arial" w:hAnsi="Arial" w:cs="Arial"/>
          <w:b/>
          <w:sz w:val="20"/>
          <w:szCs w:val="20"/>
        </w:rPr>
        <w:t>Eje del PMDyG:</w:t>
      </w:r>
      <w:r w:rsidRPr="00DD4040">
        <w:rPr>
          <w:rFonts w:ascii="Arial" w:hAnsi="Arial" w:cs="Arial"/>
          <w:sz w:val="20"/>
          <w:szCs w:val="20"/>
        </w:rPr>
        <w:t xml:space="preserve"> </w:t>
      </w:r>
      <w:r>
        <w:rPr>
          <w:rFonts w:ascii="Arial" w:hAnsi="Arial" w:cs="Arial"/>
          <w:sz w:val="20"/>
          <w:szCs w:val="20"/>
        </w:rPr>
        <w:t>A</w:t>
      </w:r>
      <w:r w:rsidRPr="002D64ED">
        <w:rPr>
          <w:rFonts w:ascii="Arial" w:hAnsi="Arial" w:cs="Arial"/>
          <w:sz w:val="20"/>
          <w:szCs w:val="20"/>
        </w:rPr>
        <w:t xml:space="preserve">dministración eficiente y eficaz. </w:t>
      </w:r>
      <w:r w:rsidR="00D40FA4">
        <w:rPr>
          <w:rFonts w:ascii="Arial" w:hAnsi="Arial" w:cs="Arial"/>
          <w:sz w:val="20"/>
          <w:szCs w:val="20"/>
        </w:rPr>
        <w:t>(IV)</w:t>
      </w:r>
    </w:p>
    <w:p w:rsidR="00DD4040" w:rsidRDefault="00DD4040" w:rsidP="008369A1">
      <w:pPr>
        <w:spacing w:after="0" w:line="360" w:lineRule="auto"/>
        <w:ind w:left="426"/>
        <w:jc w:val="both"/>
        <w:rPr>
          <w:rFonts w:ascii="Arial" w:hAnsi="Arial" w:cs="Arial"/>
          <w:sz w:val="20"/>
          <w:szCs w:val="20"/>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369A1" w:rsidRPr="008D7641" w:rsidRDefault="008369A1" w:rsidP="008369A1">
      <w:pPr>
        <w:pStyle w:val="Prrafodelista"/>
        <w:numPr>
          <w:ilvl w:val="0"/>
          <w:numId w:val="1"/>
        </w:numPr>
        <w:spacing w:after="0" w:line="360" w:lineRule="auto"/>
        <w:jc w:val="both"/>
        <w:rPr>
          <w:rFonts w:ascii="Arial" w:eastAsia="Times New Roman" w:hAnsi="Arial" w:cs="Arial"/>
          <w:b/>
          <w:color w:val="000000"/>
          <w:lang w:eastAsia="es-MX"/>
        </w:rPr>
      </w:pPr>
      <w:r w:rsidRPr="008D7641">
        <w:rPr>
          <w:rFonts w:ascii="Arial" w:eastAsia="Times New Roman" w:hAnsi="Arial" w:cs="Arial"/>
          <w:b/>
          <w:color w:val="000000"/>
          <w:lang w:eastAsia="es-MX"/>
        </w:rPr>
        <w:t>De manera puntual basándose en la pregunta 2 (Resultados Trimestrales) y en su POA, llene la siguiente tabla, según el trabajo realizado este trimestre.</w:t>
      </w:r>
    </w:p>
    <w:p w:rsidR="008369A1" w:rsidRPr="00A842E3" w:rsidRDefault="008369A1" w:rsidP="008369A1">
      <w:pPr>
        <w:spacing w:after="0" w:line="360" w:lineRule="auto"/>
        <w:jc w:val="both"/>
        <w:rPr>
          <w:rFonts w:ascii="Arial" w:eastAsia="Times New Roman" w:hAnsi="Arial" w:cs="Arial"/>
          <w:color w:val="000000"/>
          <w:lang w:eastAsia="es-MX"/>
        </w:rPr>
      </w:pPr>
      <w:bookmarkStart w:id="0" w:name="_GoBack"/>
      <w:bookmarkEnd w:id="0"/>
    </w:p>
    <w:tbl>
      <w:tblPr>
        <w:tblStyle w:val="Tablaconcuadrcula"/>
        <w:tblW w:w="10319" w:type="dxa"/>
        <w:tblInd w:w="-289" w:type="dxa"/>
        <w:tblLayout w:type="fixed"/>
        <w:tblLook w:val="04A0" w:firstRow="1" w:lastRow="0" w:firstColumn="1" w:lastColumn="0" w:noHBand="0" w:noVBand="1"/>
      </w:tblPr>
      <w:tblGrid>
        <w:gridCol w:w="568"/>
        <w:gridCol w:w="2551"/>
        <w:gridCol w:w="1843"/>
        <w:gridCol w:w="1701"/>
        <w:gridCol w:w="1843"/>
        <w:gridCol w:w="1813"/>
      </w:tblGrid>
      <w:tr w:rsidR="008369A1" w:rsidTr="00AA31DA">
        <w:tc>
          <w:tcPr>
            <w:tcW w:w="568" w:type="dxa"/>
            <w:shd w:val="clear" w:color="auto" w:fill="F4B083" w:themeFill="accent2" w:themeFillTint="99"/>
          </w:tcPr>
          <w:p w:rsidR="008369A1" w:rsidRPr="00A82C8D" w:rsidRDefault="008369A1" w:rsidP="008E2672">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2551" w:type="dxa"/>
            <w:shd w:val="clear" w:color="auto" w:fill="F4B083" w:themeFill="accent2" w:themeFillTint="99"/>
          </w:tcPr>
          <w:p w:rsidR="008369A1" w:rsidRDefault="008369A1" w:rsidP="008E2672">
            <w:pPr>
              <w:spacing w:line="360" w:lineRule="auto"/>
              <w:jc w:val="center"/>
              <w:rPr>
                <w:rFonts w:ascii="Calibri" w:eastAsia="Times New Roman" w:hAnsi="Calibri" w:cs="Calibri"/>
                <w:b/>
                <w:color w:val="000000"/>
                <w:sz w:val="20"/>
                <w:lang w:eastAsia="es-MX"/>
              </w:rPr>
            </w:pPr>
          </w:p>
          <w:p w:rsidR="008369A1" w:rsidRPr="00D85843" w:rsidRDefault="008369A1" w:rsidP="008E2672">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1843" w:type="dxa"/>
            <w:shd w:val="clear" w:color="auto" w:fill="F4B083" w:themeFill="accent2" w:themeFillTint="99"/>
          </w:tcPr>
          <w:p w:rsidR="008369A1" w:rsidRPr="00D85843" w:rsidRDefault="008369A1" w:rsidP="008E2672">
            <w:pPr>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8369A1" w:rsidRPr="0022271F" w:rsidRDefault="008369A1" w:rsidP="008E2672">
            <w:pPr>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701" w:type="dxa"/>
            <w:shd w:val="clear" w:color="auto" w:fill="F4B083" w:themeFill="accent2" w:themeFillTint="99"/>
          </w:tcPr>
          <w:p w:rsidR="008369A1" w:rsidRPr="00D85843" w:rsidRDefault="008369A1" w:rsidP="008E2672">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843" w:type="dxa"/>
            <w:shd w:val="clear" w:color="auto" w:fill="F4B083" w:themeFill="accent2" w:themeFillTint="99"/>
          </w:tcPr>
          <w:p w:rsidR="008369A1" w:rsidRPr="00D85843" w:rsidRDefault="008369A1" w:rsidP="008E2672">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1813" w:type="dxa"/>
            <w:shd w:val="clear" w:color="auto" w:fill="F4B083" w:themeFill="accent2" w:themeFillTint="99"/>
          </w:tcPr>
          <w:p w:rsidR="008369A1" w:rsidRPr="00D85843" w:rsidRDefault="008369A1" w:rsidP="008E2672">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369A1" w:rsidRPr="00D85843" w:rsidRDefault="008369A1" w:rsidP="008E2672">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369A1" w:rsidRPr="00D85843" w:rsidRDefault="008369A1" w:rsidP="008E2672">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369A1" w:rsidRPr="00D85843" w:rsidRDefault="008369A1" w:rsidP="008E2672">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369A1" w:rsidTr="008E2672">
        <w:tc>
          <w:tcPr>
            <w:tcW w:w="568" w:type="dxa"/>
          </w:tcPr>
          <w:p w:rsidR="008369A1" w:rsidRPr="00E6170C" w:rsidRDefault="008369A1" w:rsidP="008369A1">
            <w:pPr>
              <w:spacing w:line="36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w:t>
            </w:r>
          </w:p>
        </w:tc>
        <w:tc>
          <w:tcPr>
            <w:tcW w:w="2551" w:type="dxa"/>
          </w:tcPr>
          <w:p w:rsidR="008369A1" w:rsidRPr="008369A1" w:rsidRDefault="00D40FA4" w:rsidP="008369A1">
            <w:pPr>
              <w:jc w:val="both"/>
              <w:rPr>
                <w:rFonts w:ascii="Arial" w:hAnsi="Arial" w:cs="Arial"/>
                <w:sz w:val="18"/>
                <w:szCs w:val="20"/>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Pr="002D64ED">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ortalecimiento y mantenimiento del control interno de las dependencias y entidades del municipio, como parte de la estrategia preventiva del sistema estatal anticorrupción.</w:t>
            </w:r>
          </w:p>
        </w:tc>
        <w:tc>
          <w:tcPr>
            <w:tcW w:w="1843" w:type="dxa"/>
          </w:tcPr>
          <w:p w:rsidR="008369A1" w:rsidRDefault="008369A1" w:rsidP="008369A1">
            <w:pPr>
              <w:spacing w:line="360" w:lineRule="auto"/>
              <w:rPr>
                <w:rFonts w:ascii="Calibri" w:eastAsia="Times New Roman" w:hAnsi="Calibri" w:cs="Times New Roman"/>
                <w:color w:val="000000"/>
                <w:lang w:eastAsia="es-MX"/>
              </w:rPr>
            </w:pPr>
          </w:p>
        </w:tc>
        <w:tc>
          <w:tcPr>
            <w:tcW w:w="1701" w:type="dxa"/>
          </w:tcPr>
          <w:p w:rsidR="008369A1" w:rsidRDefault="00D40FA4" w:rsidP="008369A1">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5</w:t>
            </w:r>
          </w:p>
        </w:tc>
        <w:tc>
          <w:tcPr>
            <w:tcW w:w="1843" w:type="dxa"/>
          </w:tcPr>
          <w:p w:rsidR="008369A1" w:rsidRDefault="00D40FA4" w:rsidP="008369A1">
            <w:pPr>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813" w:type="dxa"/>
          </w:tcPr>
          <w:p w:rsidR="008369A1" w:rsidRDefault="00D40FA4" w:rsidP="008369A1">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65</w:t>
            </w:r>
            <w:r w:rsidR="00BD45F5">
              <w:rPr>
                <w:rFonts w:ascii="Calibri" w:eastAsia="Times New Roman" w:hAnsi="Calibri" w:cs="Times New Roman"/>
                <w:color w:val="000000"/>
                <w:lang w:eastAsia="es-MX"/>
              </w:rPr>
              <w:t xml:space="preserve"> %</w:t>
            </w:r>
          </w:p>
        </w:tc>
      </w:tr>
      <w:tr w:rsidR="00291B1C" w:rsidRPr="00291B1C" w:rsidTr="00F934EA">
        <w:tc>
          <w:tcPr>
            <w:tcW w:w="568" w:type="dxa"/>
            <w:shd w:val="clear" w:color="auto" w:fill="F7CAAC" w:themeFill="accent2" w:themeFillTint="66"/>
          </w:tcPr>
          <w:p w:rsidR="008369A1" w:rsidRPr="00291B1C" w:rsidRDefault="008369A1" w:rsidP="008369A1">
            <w:pPr>
              <w:spacing w:line="360" w:lineRule="auto"/>
              <w:rPr>
                <w:rFonts w:ascii="Arial" w:eastAsia="Times New Roman" w:hAnsi="Arial" w:cs="Arial"/>
                <w:b/>
                <w:color w:val="C45911" w:themeColor="accent2" w:themeShade="BF"/>
                <w:sz w:val="20"/>
                <w:szCs w:val="20"/>
                <w:lang w:eastAsia="es-MX"/>
              </w:rPr>
            </w:pPr>
          </w:p>
        </w:tc>
        <w:tc>
          <w:tcPr>
            <w:tcW w:w="2551" w:type="dxa"/>
            <w:shd w:val="clear" w:color="auto" w:fill="F7CAAC" w:themeFill="accent2" w:themeFillTint="66"/>
          </w:tcPr>
          <w:p w:rsidR="008369A1" w:rsidRPr="00291B1C" w:rsidRDefault="00BD45F5" w:rsidP="008369A1">
            <w:pPr>
              <w:spacing w:line="360" w:lineRule="auto"/>
              <w:jc w:val="both"/>
              <w:rPr>
                <w:rFonts w:ascii="Arial" w:eastAsia="Times New Roman" w:hAnsi="Arial" w:cs="Arial"/>
                <w:b/>
                <w:color w:val="C45911" w:themeColor="accent2" w:themeShade="BF"/>
                <w:sz w:val="20"/>
                <w:szCs w:val="20"/>
                <w:lang w:eastAsia="es-MX"/>
              </w:rPr>
            </w:pPr>
            <w:r w:rsidRPr="00291B1C">
              <w:rPr>
                <w:rFonts w:ascii="Arial" w:eastAsia="Times New Roman" w:hAnsi="Arial" w:cs="Arial"/>
                <w:b/>
                <w:color w:val="C45911" w:themeColor="accent2" w:themeShade="BF"/>
                <w:sz w:val="20"/>
                <w:szCs w:val="20"/>
                <w:lang w:eastAsia="es-MX"/>
              </w:rPr>
              <w:t>Total</w:t>
            </w:r>
          </w:p>
        </w:tc>
        <w:tc>
          <w:tcPr>
            <w:tcW w:w="1843" w:type="dxa"/>
            <w:shd w:val="clear" w:color="auto" w:fill="F7CAAC" w:themeFill="accent2" w:themeFillTint="66"/>
          </w:tcPr>
          <w:p w:rsidR="008369A1" w:rsidRPr="00291B1C" w:rsidRDefault="008369A1" w:rsidP="008369A1">
            <w:pPr>
              <w:spacing w:line="360" w:lineRule="auto"/>
              <w:rPr>
                <w:rFonts w:ascii="Calibri" w:eastAsia="Times New Roman" w:hAnsi="Calibri" w:cs="Times New Roman"/>
                <w:b/>
                <w:color w:val="C45911" w:themeColor="accent2" w:themeShade="BF"/>
                <w:lang w:eastAsia="es-MX"/>
              </w:rPr>
            </w:pPr>
          </w:p>
        </w:tc>
        <w:tc>
          <w:tcPr>
            <w:tcW w:w="1701" w:type="dxa"/>
            <w:shd w:val="clear" w:color="auto" w:fill="F7CAAC" w:themeFill="accent2" w:themeFillTint="66"/>
          </w:tcPr>
          <w:p w:rsidR="008369A1" w:rsidRPr="00291B1C" w:rsidRDefault="008369A1" w:rsidP="008369A1">
            <w:pPr>
              <w:spacing w:line="360" w:lineRule="auto"/>
              <w:jc w:val="center"/>
              <w:rPr>
                <w:rFonts w:ascii="Calibri" w:eastAsia="Times New Roman" w:hAnsi="Calibri" w:cs="Times New Roman"/>
                <w:b/>
                <w:color w:val="C45911" w:themeColor="accent2" w:themeShade="BF"/>
                <w:lang w:eastAsia="es-MX"/>
              </w:rPr>
            </w:pPr>
          </w:p>
        </w:tc>
        <w:tc>
          <w:tcPr>
            <w:tcW w:w="1843" w:type="dxa"/>
            <w:shd w:val="clear" w:color="auto" w:fill="F7CAAC" w:themeFill="accent2" w:themeFillTint="66"/>
          </w:tcPr>
          <w:p w:rsidR="008369A1" w:rsidRPr="00291B1C" w:rsidRDefault="008369A1" w:rsidP="008369A1">
            <w:pPr>
              <w:spacing w:line="360" w:lineRule="auto"/>
              <w:jc w:val="center"/>
              <w:rPr>
                <w:rFonts w:ascii="Calibri" w:eastAsia="Times New Roman" w:hAnsi="Calibri" w:cs="Times New Roman"/>
                <w:b/>
                <w:color w:val="C45911" w:themeColor="accent2" w:themeShade="BF"/>
                <w:lang w:eastAsia="es-MX"/>
              </w:rPr>
            </w:pPr>
          </w:p>
        </w:tc>
        <w:tc>
          <w:tcPr>
            <w:tcW w:w="1813" w:type="dxa"/>
            <w:shd w:val="clear" w:color="auto" w:fill="F7CAAC" w:themeFill="accent2" w:themeFillTint="66"/>
          </w:tcPr>
          <w:p w:rsidR="008369A1" w:rsidRPr="00291B1C" w:rsidRDefault="00BD45F5" w:rsidP="008369A1">
            <w:pPr>
              <w:spacing w:line="360" w:lineRule="auto"/>
              <w:rPr>
                <w:rFonts w:ascii="Calibri" w:eastAsia="Times New Roman" w:hAnsi="Calibri" w:cs="Times New Roman"/>
                <w:b/>
                <w:color w:val="C45911" w:themeColor="accent2" w:themeShade="BF"/>
                <w:lang w:eastAsia="es-MX"/>
              </w:rPr>
            </w:pPr>
            <w:r w:rsidRPr="00291B1C">
              <w:rPr>
                <w:rFonts w:ascii="Calibri" w:eastAsia="Times New Roman" w:hAnsi="Calibri" w:cs="Times New Roman"/>
                <w:b/>
                <w:color w:val="C45911" w:themeColor="accent2" w:themeShade="BF"/>
                <w:lang w:eastAsia="es-MX"/>
              </w:rPr>
              <w:t>65%</w:t>
            </w:r>
          </w:p>
        </w:tc>
      </w:tr>
    </w:tbl>
    <w:p w:rsidR="008369A1" w:rsidRPr="00832A3E" w:rsidRDefault="008369A1" w:rsidP="008369A1">
      <w:pPr>
        <w:spacing w:after="0" w:line="360" w:lineRule="auto"/>
        <w:rPr>
          <w:rFonts w:ascii="Arial" w:eastAsia="Times New Roman" w:hAnsi="Arial" w:cs="Arial"/>
          <w:color w:val="000000"/>
          <w:sz w:val="20"/>
          <w:lang w:eastAsia="es-MX"/>
        </w:rPr>
      </w:pPr>
    </w:p>
    <w:p w:rsidR="008369A1" w:rsidRDefault="008369A1" w:rsidP="008369A1"/>
    <w:p w:rsidR="00066157" w:rsidRDefault="00066157"/>
    <w:sectPr w:rsidR="00066157" w:rsidSect="005A30D3">
      <w:footerReference w:type="default" r:id="rId8"/>
      <w:pgSz w:w="12240" w:h="20160" w:code="5"/>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B9F" w:rsidRDefault="00EF5B9F">
      <w:pPr>
        <w:spacing w:after="0" w:line="240" w:lineRule="auto"/>
      </w:pPr>
      <w:r>
        <w:separator/>
      </w:r>
    </w:p>
  </w:endnote>
  <w:endnote w:type="continuationSeparator" w:id="0">
    <w:p w:rsidR="00EF5B9F" w:rsidRDefault="00EF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D40FA4"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EF5B9F"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B9F" w:rsidRDefault="00EF5B9F">
      <w:pPr>
        <w:spacing w:after="0" w:line="240" w:lineRule="auto"/>
      </w:pPr>
      <w:r>
        <w:separator/>
      </w:r>
    </w:p>
  </w:footnote>
  <w:footnote w:type="continuationSeparator" w:id="0">
    <w:p w:rsidR="00EF5B9F" w:rsidRDefault="00EF5B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2B2CCB"/>
    <w:multiLevelType w:val="hybridMultilevel"/>
    <w:tmpl w:val="072C8F4C"/>
    <w:lvl w:ilvl="0" w:tplc="72662CC0">
      <w:numFmt w:val="bullet"/>
      <w:lvlText w:val=""/>
      <w:lvlJc w:val="left"/>
      <w:pPr>
        <w:ind w:left="1146" w:hanging="360"/>
      </w:pPr>
      <w:rPr>
        <w:rFonts w:ascii="Symbol" w:eastAsiaTheme="minorHAnsi" w:hAnsi="Symbol" w:cs="Arial" w:hint="default"/>
        <w:b w:val="0"/>
        <w:color w:val="auto"/>
        <w:sz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A845D81"/>
    <w:multiLevelType w:val="hybridMultilevel"/>
    <w:tmpl w:val="C764CF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34BD7AF8"/>
    <w:multiLevelType w:val="hybridMultilevel"/>
    <w:tmpl w:val="80B4EC9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4">
    <w:nsid w:val="51796871"/>
    <w:multiLevelType w:val="hybridMultilevel"/>
    <w:tmpl w:val="773E1700"/>
    <w:lvl w:ilvl="0" w:tplc="5038E958">
      <w:numFmt w:val="bullet"/>
      <w:lvlText w:val=""/>
      <w:lvlJc w:val="left"/>
      <w:pPr>
        <w:ind w:left="1778" w:hanging="360"/>
      </w:pPr>
      <w:rPr>
        <w:rFonts w:ascii="Symbol" w:eastAsiaTheme="minorHAnsi" w:hAnsi="Symbol" w:cstheme="majorHAnsi"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nsid w:val="554A3C7F"/>
    <w:multiLevelType w:val="hybridMultilevel"/>
    <w:tmpl w:val="04581440"/>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A1"/>
    <w:rsid w:val="0001445D"/>
    <w:rsid w:val="000329B8"/>
    <w:rsid w:val="00047620"/>
    <w:rsid w:val="00066157"/>
    <w:rsid w:val="001845E3"/>
    <w:rsid w:val="0023202A"/>
    <w:rsid w:val="00291B1C"/>
    <w:rsid w:val="0029539E"/>
    <w:rsid w:val="00377FCE"/>
    <w:rsid w:val="008369A1"/>
    <w:rsid w:val="00AA31DA"/>
    <w:rsid w:val="00BD45F5"/>
    <w:rsid w:val="00C4102E"/>
    <w:rsid w:val="00CB3970"/>
    <w:rsid w:val="00D40FA4"/>
    <w:rsid w:val="00DD4040"/>
    <w:rsid w:val="00EC3E96"/>
    <w:rsid w:val="00EF5B9F"/>
    <w:rsid w:val="00F934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4DEFB-EBF3-49F8-B84E-B0513607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A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A1"/>
    <w:pPr>
      <w:ind w:left="720"/>
      <w:contextualSpacing/>
    </w:pPr>
  </w:style>
  <w:style w:type="paragraph" w:styleId="Encabezado">
    <w:name w:val="header"/>
    <w:basedOn w:val="Normal"/>
    <w:link w:val="EncabezadoCar"/>
    <w:uiPriority w:val="99"/>
    <w:unhideWhenUsed/>
    <w:rsid w:val="008369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69A1"/>
  </w:style>
  <w:style w:type="paragraph" w:styleId="Piedepgina">
    <w:name w:val="footer"/>
    <w:basedOn w:val="Normal"/>
    <w:link w:val="PiedepginaCar"/>
    <w:uiPriority w:val="99"/>
    <w:unhideWhenUsed/>
    <w:rsid w:val="008369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69A1"/>
  </w:style>
  <w:style w:type="table" w:styleId="Tablaconcuadrcula">
    <w:name w:val="Table Grid"/>
    <w:basedOn w:val="Tablanormal"/>
    <w:uiPriority w:val="59"/>
    <w:rsid w:val="00836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C410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732</Words>
  <Characters>4027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PROMOCION_2</cp:lastModifiedBy>
  <cp:revision>11</cp:revision>
  <dcterms:created xsi:type="dcterms:W3CDTF">2022-12-02T17:46:00Z</dcterms:created>
  <dcterms:modified xsi:type="dcterms:W3CDTF">2023-01-05T16:31:00Z</dcterms:modified>
</cp:coreProperties>
</file>