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PLANEACION, EVALUACION Y AGENDA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CC7E4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  <w:r w:rsidR="006F52E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PLANEACION, EVALUACION Y AGENDA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CC7E4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  <w:r w:rsidR="006F52E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5A3A17" w:rsidRPr="00CC7E46" w:rsidRDefault="003A19BD" w:rsidP="00CC7E4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Actualización del Plan Municipal de Desarrollo y Gobernanza</w:t>
      </w:r>
    </w:p>
    <w:p w:rsidR="003A19BD" w:rsidRDefault="003A19BD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Recepción y revisión de Evaluaci</w:t>
      </w:r>
      <w:r w:rsidR="005A3A17">
        <w:rPr>
          <w:rFonts w:ascii="Arial" w:eastAsia="Times New Roman" w:hAnsi="Arial" w:cs="Arial"/>
          <w:color w:val="000000"/>
          <w:lang w:eastAsia="es-MX"/>
        </w:rPr>
        <w:t>ones trimestrales y de desempeño</w:t>
      </w:r>
      <w:r w:rsidRPr="007D22C4">
        <w:rPr>
          <w:rFonts w:ascii="Arial" w:eastAsia="Times New Roman" w:hAnsi="Arial" w:cs="Arial"/>
          <w:color w:val="000000"/>
          <w:lang w:eastAsia="es-MX"/>
        </w:rPr>
        <w:t>.</w:t>
      </w:r>
    </w:p>
    <w:p w:rsidR="005A3A17" w:rsidRPr="007D22C4" w:rsidRDefault="005A3A17" w:rsidP="003A19BD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Participacion del Gobierno Municipal en el programa Guía Consultiva del INAFED</w:t>
      </w:r>
    </w:p>
    <w:p w:rsidR="007D22C4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Seguimiento de las Sesiones del COPPLADEMUN.</w:t>
      </w:r>
    </w:p>
    <w:p w:rsidR="003A19BD" w:rsidRPr="007D22C4" w:rsidRDefault="007D22C4" w:rsidP="007D22C4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 w:rsidRPr="007D22C4">
        <w:rPr>
          <w:rFonts w:ascii="Arial" w:eastAsia="Times New Roman" w:hAnsi="Arial" w:cs="Arial"/>
          <w:color w:val="000000"/>
          <w:lang w:eastAsia="es-MX"/>
        </w:rPr>
        <w:t>Transparencia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1439AE" w:rsidRPr="00512CDD" w:rsidRDefault="00CC7E46" w:rsidP="00512CDD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Una vez aprobado el plan </w:t>
      </w:r>
      <w:r w:rsidR="001439AE">
        <w:rPr>
          <w:rFonts w:ascii="Arial" w:eastAsia="Times New Roman" w:hAnsi="Arial" w:cs="Arial"/>
          <w:color w:val="000000"/>
          <w:lang w:eastAsia="es-MX"/>
        </w:rPr>
        <w:t xml:space="preserve">se mandó a Edición </w:t>
      </w:r>
      <w:r>
        <w:rPr>
          <w:rFonts w:ascii="Arial" w:eastAsia="Times New Roman" w:hAnsi="Arial" w:cs="Arial"/>
          <w:color w:val="000000"/>
          <w:lang w:eastAsia="es-MX"/>
        </w:rPr>
        <w:t>y posteriormente a impresión para su publicación,</w:t>
      </w:r>
      <w:r w:rsidR="00512CDD">
        <w:rPr>
          <w:rFonts w:ascii="Arial" w:eastAsia="Times New Roman" w:hAnsi="Arial" w:cs="Arial"/>
          <w:color w:val="000000"/>
          <w:lang w:eastAsia="es-MX"/>
        </w:rPr>
        <w:t xml:space="preserve"> un Ejemplar del Plan fue entregado al Congreso del Estado para su conocimiento y archivo, además fue entregado de manera electrónica a todas las dependencias del Gobierno Municipal.</w:t>
      </w:r>
      <w:r w:rsidR="001439AE" w:rsidRPr="00512CDD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750F59" w:rsidRDefault="00750F59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Se notificó a todos los Directores, acerca de la entrega de las evaluaciones trimestrales y del desem</w:t>
      </w:r>
      <w:r w:rsidR="00C0373E">
        <w:rPr>
          <w:rFonts w:ascii="Arial" w:eastAsia="Times New Roman" w:hAnsi="Arial" w:cs="Arial"/>
          <w:color w:val="000000"/>
          <w:lang w:eastAsia="es-MX"/>
        </w:rPr>
        <w:t>peño, correspondientes al segundo trimestre del 2022 (abril-junio</w:t>
      </w:r>
      <w:r w:rsidRPr="00AA4294">
        <w:rPr>
          <w:rFonts w:ascii="Arial" w:eastAsia="Times New Roman" w:hAnsi="Arial" w:cs="Arial"/>
          <w:color w:val="000000"/>
          <w:lang w:eastAsia="es-MX"/>
        </w:rPr>
        <w:t>), se enviaron los formatos vía electrónica para su llenado y se establecieron las fechas de entrega de las mismas.</w:t>
      </w:r>
    </w:p>
    <w:p w:rsidR="00E119BE" w:rsidRPr="00AA4294" w:rsidRDefault="00664597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este trimestre con respecto a la Guía Consultiva, se realizó el Diagnostico del Municipio en la Plataforma del INAFED, para posteriormente empezar con la recepción y revisión  de las carpetas de evidencia por cada Dependencia participante en el programa, se asesoró a los Directores tanto en los documentos que tenían que presentar como en la integración y armado de las carpetas. Por parte del Estado, se nos informó sobre la Institución educativa que Evaluaría al Municipio (Tec</w:t>
      </w:r>
      <w:r w:rsidR="00CE004A">
        <w:rPr>
          <w:rFonts w:ascii="Arial" w:eastAsia="Times New Roman" w:hAnsi="Arial" w:cs="Arial"/>
          <w:color w:val="000000"/>
          <w:lang w:eastAsia="es-MX"/>
        </w:rPr>
        <w:t>.</w:t>
      </w:r>
      <w:r>
        <w:rPr>
          <w:rFonts w:ascii="Arial" w:eastAsia="Times New Roman" w:hAnsi="Arial" w:cs="Arial"/>
          <w:color w:val="000000"/>
          <w:lang w:eastAsia="es-MX"/>
        </w:rPr>
        <w:t xml:space="preserve"> Chapala) definiéndose con ellos la fecha de la revisión</w:t>
      </w:r>
      <w:r w:rsidR="00280493">
        <w:rPr>
          <w:rFonts w:ascii="Arial" w:eastAsia="Times New Roman" w:hAnsi="Arial" w:cs="Arial"/>
          <w:color w:val="000000"/>
          <w:lang w:eastAsia="es-MX"/>
        </w:rPr>
        <w:t xml:space="preserve"> quedando el día 21 de septiembre a las 10 am. en la sala de regidores. Ese día de manera puntual se presentaron los Evaluadores asi como todos los directores de área participantes, la revisión se llevó a cabo sin contratiempos y se obtuvo un resultado favorable para el municipio de 115 indicadores evaluados, 84 fueron verdes, 15 amarillos y 13 rojos.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750F59" w:rsidRPr="00AA4294" w:rsidRDefault="00CE004A" w:rsidP="00AA429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programó fecha para la tercera Sesión del COPPLADEMUN para posteriormente girar la</w:t>
      </w:r>
      <w:r w:rsidR="00540AD7">
        <w:rPr>
          <w:rFonts w:ascii="Arial" w:eastAsia="Times New Roman" w:hAnsi="Arial" w:cs="Arial"/>
          <w:color w:val="000000"/>
          <w:lang w:eastAsia="es-MX"/>
        </w:rPr>
        <w:t xml:space="preserve"> co</w:t>
      </w:r>
      <w:r>
        <w:rPr>
          <w:rFonts w:ascii="Arial" w:eastAsia="Times New Roman" w:hAnsi="Arial" w:cs="Arial"/>
          <w:color w:val="000000"/>
          <w:lang w:eastAsia="es-MX"/>
        </w:rPr>
        <w:t>nvocatoria a todos los integrantes</w:t>
      </w:r>
      <w:r w:rsidR="00AA4294" w:rsidRPr="00AA4294">
        <w:rPr>
          <w:rFonts w:ascii="Arial" w:eastAsia="Times New Roman" w:hAnsi="Arial" w:cs="Arial"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En lo que respecta a Transparencia, mes con mes se actualizan las páginas de transparencias, la Plataforma Municipal, la Nacional y CIMTRA. Además de que se están generando constantemente los documentos para alimentar estas plataformas para mantener al día cada uno de los artículos, fracciones e incisos correspondientes a esta Dirección.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AA4294" w:rsidRDefault="00AA4294" w:rsidP="00AA4294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 xml:space="preserve">En el desarrollo integral del Municipio, pues la administración pública debe de tener directrices establecidas que fijen el rumbo del Gobierno y en donde todas la áreas se profesionalicen y </w:t>
      </w:r>
      <w:r w:rsidRPr="00AA4294">
        <w:rPr>
          <w:rFonts w:ascii="Arial" w:eastAsia="Times New Roman" w:hAnsi="Arial" w:cs="Arial"/>
          <w:color w:val="000000"/>
          <w:lang w:eastAsia="es-MX"/>
        </w:rPr>
        <w:lastRenderedPageBreak/>
        <w:t>actualicen para el mejor desempeño de sus direcciones, ahora cuentan ya con instrumentos que les permiten una buena organización, dar mejor servicio y tiene procedimientos establecidos además de un plan operativo anual que les permite priorizar sus estrategias y se cuenta con un sistema de evaluación al trabajo realizado, asi como una evaluación del desempeño a los titulares de las áreas.</w:t>
      </w:r>
    </w:p>
    <w:p w:rsidR="008D7641" w:rsidRPr="00807BB5" w:rsidRDefault="008D764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A4294" w:rsidRPr="00CE004A" w:rsidRDefault="00AA4294" w:rsidP="00CE004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b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b/>
          <w:color w:val="000000"/>
          <w:lang w:eastAsia="es-MX"/>
        </w:rPr>
        <w:tab/>
      </w:r>
      <w:r w:rsidRPr="00AA4294">
        <w:rPr>
          <w:rFonts w:ascii="Arial" w:eastAsia="Times New Roman" w:hAnsi="Arial" w:cs="Arial"/>
          <w:color w:val="000000"/>
          <w:lang w:eastAsia="es-MX"/>
        </w:rPr>
        <w:t>Actualización del Plan Municipal de Desarrollo y Gobernanza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Recepción y revisión de Evaluaciones trimestrales y de desempeño.</w:t>
      </w:r>
    </w:p>
    <w:p w:rsidR="00540AD7" w:rsidRPr="00540AD7" w:rsidRDefault="00540AD7" w:rsidP="00540AD7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Participacion del Gobierno Municipal en el programa Guía Consultiva del INAFED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Seguimiento de las Sesiones del COPPLADEMUN.</w:t>
      </w:r>
    </w:p>
    <w:p w:rsid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•</w:t>
      </w:r>
      <w:r w:rsidRPr="00AA4294">
        <w:rPr>
          <w:rFonts w:ascii="Arial" w:eastAsia="Times New Roman" w:hAnsi="Arial" w:cs="Arial"/>
          <w:color w:val="000000"/>
          <w:lang w:eastAsia="es-MX"/>
        </w:rPr>
        <w:tab/>
        <w:t>Transparencia</w:t>
      </w:r>
    </w:p>
    <w:p w:rsidR="00AA4294" w:rsidRPr="00AA4294" w:rsidRDefault="00AA4294" w:rsidP="00AA429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294">
        <w:rPr>
          <w:rFonts w:ascii="Arial" w:eastAsia="Times New Roman" w:hAnsi="Arial" w:cs="Arial"/>
          <w:color w:val="000000"/>
          <w:lang w:eastAsia="es-MX"/>
        </w:rPr>
        <w:t>Todas apegadas al eje de Administración Eficiente y Eficaz.</w:t>
      </w:r>
    </w:p>
    <w:p w:rsidR="008D7641" w:rsidRPr="00832A3E" w:rsidRDefault="00AA4294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07BB5" w:rsidRPr="00E6170C" w:rsidRDefault="00AA429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 del Plan Municipal de Desarrollo y Gobernanza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17" w:type="dxa"/>
          </w:tcPr>
          <w:p w:rsidR="00807BB5" w:rsidRDefault="00CE004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843" w:type="dxa"/>
          </w:tcPr>
          <w:p w:rsidR="00807BB5" w:rsidRDefault="00CE004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C62B7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18" w:type="dxa"/>
          </w:tcPr>
          <w:p w:rsidR="008D7641" w:rsidRPr="00E6170C" w:rsidRDefault="00AA429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y revisión de Evaluaciones trimestrales y de desempeño.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40AD7" w:rsidTr="00A551BF">
        <w:tc>
          <w:tcPr>
            <w:tcW w:w="568" w:type="dxa"/>
          </w:tcPr>
          <w:p w:rsidR="00540AD7" w:rsidRDefault="00540AD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18" w:type="dxa"/>
          </w:tcPr>
          <w:p w:rsidR="00540AD7" w:rsidRPr="00AA4294" w:rsidRDefault="00540AD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Participacion del Gobierno Municipal en el programa Guía Consultiva del INAFED</w:t>
            </w:r>
          </w:p>
        </w:tc>
        <w:tc>
          <w:tcPr>
            <w:tcW w:w="2127" w:type="dxa"/>
          </w:tcPr>
          <w:p w:rsidR="00540AD7" w:rsidRDefault="00540A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540AD7" w:rsidRDefault="00540AD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417" w:type="dxa"/>
          </w:tcPr>
          <w:p w:rsidR="00540AD7" w:rsidRDefault="00CE004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</w:tcPr>
          <w:p w:rsidR="00540AD7" w:rsidRDefault="00CE004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9C362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CC2126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18" w:type="dxa"/>
          </w:tcPr>
          <w:p w:rsidR="008D7641" w:rsidRPr="00E6170C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="00AA4294"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de las Sesiones del COPPLADEMUN.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86%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1C62B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18" w:type="dxa"/>
          </w:tcPr>
          <w:p w:rsidR="008D7641" w:rsidRPr="00E6170C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 </w:t>
            </w:r>
            <w:r w:rsidR="00AA4294" w:rsidRPr="00AA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8D7641" w:rsidRDefault="0046693A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843" w:type="dxa"/>
          </w:tcPr>
          <w:p w:rsidR="008D7641" w:rsidRDefault="001C62B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96C72" w:rsidRPr="00596C72" w:rsidTr="001C62B7">
        <w:tc>
          <w:tcPr>
            <w:tcW w:w="568" w:type="dxa"/>
            <w:shd w:val="clear" w:color="auto" w:fill="FABF8F" w:themeFill="accent6" w:themeFillTint="99"/>
          </w:tcPr>
          <w:p w:rsidR="008D7641" w:rsidRPr="00596C72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596C72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</w:pPr>
            <w:r w:rsidRPr="00596C7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596C72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596C72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596C72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596C72" w:rsidRDefault="00CE004A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</w:pPr>
            <w:r w:rsidRPr="00596C72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97</w:t>
            </w:r>
            <w:r w:rsidR="001C62B7" w:rsidRPr="00596C72">
              <w:rPr>
                <w:rFonts w:ascii="Calibri" w:eastAsia="Times New Roman" w:hAnsi="Calibri" w:cs="Times New Roman"/>
                <w:b/>
                <w:color w:val="C00000"/>
                <w:lang w:eastAsia="es-MX"/>
              </w:rPr>
              <w:t>%</w:t>
            </w:r>
          </w:p>
        </w:tc>
      </w:tr>
    </w:tbl>
    <w:p w:rsidR="00832A3E" w:rsidRPr="00596C72" w:rsidRDefault="00832A3E" w:rsidP="00832A3E">
      <w:pPr>
        <w:spacing w:after="0" w:line="360" w:lineRule="auto"/>
        <w:rPr>
          <w:rFonts w:ascii="Arial" w:eastAsia="Times New Roman" w:hAnsi="Arial" w:cs="Arial"/>
          <w:color w:val="C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6E" w:rsidRDefault="00627B6E" w:rsidP="005F2963">
      <w:pPr>
        <w:spacing w:after="0" w:line="240" w:lineRule="auto"/>
      </w:pPr>
      <w:r>
        <w:separator/>
      </w:r>
    </w:p>
  </w:endnote>
  <w:endnote w:type="continuationSeparator" w:id="0">
    <w:p w:rsidR="00627B6E" w:rsidRDefault="00627B6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6E" w:rsidRDefault="00627B6E" w:rsidP="005F2963">
      <w:pPr>
        <w:spacing w:after="0" w:line="240" w:lineRule="auto"/>
      </w:pPr>
      <w:r>
        <w:separator/>
      </w:r>
    </w:p>
  </w:footnote>
  <w:footnote w:type="continuationSeparator" w:id="0">
    <w:p w:rsidR="00627B6E" w:rsidRDefault="00627B6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D31DF"/>
    <w:rsid w:val="000D7FA1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615C"/>
    <w:rsid w:val="00390E63"/>
    <w:rsid w:val="003A19BD"/>
    <w:rsid w:val="003B3077"/>
    <w:rsid w:val="003D1FF7"/>
    <w:rsid w:val="003F0129"/>
    <w:rsid w:val="0043418C"/>
    <w:rsid w:val="0044034D"/>
    <w:rsid w:val="0046693A"/>
    <w:rsid w:val="004C362F"/>
    <w:rsid w:val="00512CDD"/>
    <w:rsid w:val="0053024C"/>
    <w:rsid w:val="0053212A"/>
    <w:rsid w:val="005363A2"/>
    <w:rsid w:val="00540AD7"/>
    <w:rsid w:val="00574387"/>
    <w:rsid w:val="00596C72"/>
    <w:rsid w:val="005A0969"/>
    <w:rsid w:val="005A30D3"/>
    <w:rsid w:val="005A3A17"/>
    <w:rsid w:val="005C1B11"/>
    <w:rsid w:val="005F2963"/>
    <w:rsid w:val="00627B6E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B1596"/>
    <w:rsid w:val="009C3625"/>
    <w:rsid w:val="009D3D60"/>
    <w:rsid w:val="00A551BF"/>
    <w:rsid w:val="00A6538A"/>
    <w:rsid w:val="00A659CC"/>
    <w:rsid w:val="00A82C8D"/>
    <w:rsid w:val="00A842E3"/>
    <w:rsid w:val="00AA4294"/>
    <w:rsid w:val="00AC1596"/>
    <w:rsid w:val="00B63521"/>
    <w:rsid w:val="00B92E83"/>
    <w:rsid w:val="00BB1F7B"/>
    <w:rsid w:val="00BD7E67"/>
    <w:rsid w:val="00C0373E"/>
    <w:rsid w:val="00C110B1"/>
    <w:rsid w:val="00CA05FC"/>
    <w:rsid w:val="00CC2126"/>
    <w:rsid w:val="00CC7E46"/>
    <w:rsid w:val="00CE004A"/>
    <w:rsid w:val="00D05699"/>
    <w:rsid w:val="00D319A7"/>
    <w:rsid w:val="00D365FD"/>
    <w:rsid w:val="00D85843"/>
    <w:rsid w:val="00DD3C21"/>
    <w:rsid w:val="00E119BE"/>
    <w:rsid w:val="00E44B51"/>
    <w:rsid w:val="00E6170C"/>
    <w:rsid w:val="00EF0820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AAC9-9B16-4C9F-AFC8-EA9ADA9D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21</cp:revision>
  <cp:lastPrinted>2022-05-24T18:40:00Z</cp:lastPrinted>
  <dcterms:created xsi:type="dcterms:W3CDTF">2021-04-12T16:38:00Z</dcterms:created>
  <dcterms:modified xsi:type="dcterms:W3CDTF">2023-01-04T18:18:00Z</dcterms:modified>
</cp:coreProperties>
</file>