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1E43035F"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31</w:t>
            </w:r>
            <w:r w:rsidRPr="00952D54">
              <w:rPr>
                <w:rFonts w:ascii="Arial" w:hAnsi="Arial" w:cs="Arial"/>
                <w:b/>
                <w:sz w:val="24"/>
                <w:szCs w:val="24"/>
              </w:rPr>
              <w:t xml:space="preserve"> DE </w:t>
            </w:r>
            <w:r w:rsidR="00C36EB4" w:rsidRPr="00952D54">
              <w:rPr>
                <w:rFonts w:ascii="Arial" w:hAnsi="Arial" w:cs="Arial"/>
                <w:b/>
                <w:sz w:val="24"/>
                <w:szCs w:val="24"/>
              </w:rPr>
              <w:t>MARZO</w:t>
            </w:r>
            <w:r w:rsidRPr="00952D54">
              <w:rPr>
                <w:rFonts w:ascii="Arial" w:hAnsi="Arial" w:cs="Arial"/>
                <w:b/>
                <w:sz w:val="24"/>
                <w:szCs w:val="24"/>
              </w:rPr>
              <w:t xml:space="preserve"> DE 20</w:t>
            </w:r>
            <w:r w:rsidR="00FF5550">
              <w:rPr>
                <w:rFonts w:ascii="Arial" w:hAnsi="Arial" w:cs="Arial"/>
                <w:b/>
                <w:sz w:val="24"/>
                <w:szCs w:val="24"/>
              </w:rPr>
              <w:t>20</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44A54E47"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3157D2" w:rsidRPr="003157D2">
              <w:rPr>
                <w:rFonts w:ascii="Arial" w:hAnsi="Arial" w:cs="Arial"/>
                <w:sz w:val="24"/>
                <w:szCs w:val="24"/>
                <w:lang w:eastAsia="es-MX"/>
              </w:rPr>
              <w:t>El municipio de Jocotepec pertenece a la Región Sureste, su población en el 2015 según la Encuesta Intercensal era de 46 mil 521 personas; 49.3 por ciento hombres y 50.7 por ciento mujeres, los habitantes del municipio representaban el 28.4 por ciento del total regional (ver tabla 3). 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municipio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a).-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c).-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d).-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las mismas,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a).-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d).-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h).-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j).-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r w:rsidRPr="00952D54">
              <w:rPr>
                <w:sz w:val="24"/>
                <w:szCs w:val="24"/>
              </w:rPr>
              <w:t>MONEDA</w:t>
            </w:r>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0D64E67A"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FB4288">
              <w:rPr>
                <w:noProof/>
              </w:rPr>
              <w:drawing>
                <wp:inline distT="0" distB="0" distL="0" distR="0" wp14:anchorId="72EA8EBD" wp14:editId="5633DC1B">
                  <wp:extent cx="6629400" cy="3648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29400" cy="3648075"/>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297F3121"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FB4288">
              <w:rPr>
                <w:noProof/>
              </w:rPr>
              <w:drawing>
                <wp:inline distT="0" distB="0" distL="0" distR="0" wp14:anchorId="0F8C8BCB" wp14:editId="0716F2AA">
                  <wp:extent cx="6858000" cy="1895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895475"/>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157D2"/>
    <w:rsid w:val="00341E71"/>
    <w:rsid w:val="00346463"/>
    <w:rsid w:val="003D6C36"/>
    <w:rsid w:val="0040191D"/>
    <w:rsid w:val="004D1A2A"/>
    <w:rsid w:val="006628DA"/>
    <w:rsid w:val="006957D4"/>
    <w:rsid w:val="007326BD"/>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B4288"/>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3</cp:revision>
  <cp:lastPrinted>2022-04-28T22:51:00Z</cp:lastPrinted>
  <dcterms:created xsi:type="dcterms:W3CDTF">2022-04-28T22:41:00Z</dcterms:created>
  <dcterms:modified xsi:type="dcterms:W3CDTF">2022-04-28T22:51:00Z</dcterms:modified>
</cp:coreProperties>
</file>