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rsidTr="00A45E83">
        <w:tc>
          <w:tcPr>
            <w:tcW w:w="8978" w:type="dxa"/>
          </w:tcPr>
          <w:p w:rsidR="00FA2397" w:rsidRDefault="000400FF" w:rsidP="00301134">
            <w:pPr>
              <w:spacing w:after="0" w:line="240" w:lineRule="auto"/>
              <w:jc w:val="center"/>
              <w:rPr>
                <w:rFonts w:ascii="Arial" w:hAnsi="Arial" w:cs="Arial"/>
                <w:b/>
                <w:sz w:val="24"/>
                <w:szCs w:val="28"/>
              </w:rPr>
            </w:pPr>
            <w:bookmarkStart w:id="0" w:name="ente"/>
            <w:bookmarkStart w:id="1" w:name="_GoBack"/>
            <w:bookmarkEnd w:id="0"/>
            <w:bookmarkEnd w:id="1"/>
            <w:r>
              <w:rPr>
                <w:rFonts w:ascii="Arial" w:hAnsi="Arial" w:cs="Arial"/>
                <w:b/>
                <w:sz w:val="24"/>
                <w:szCs w:val="28"/>
              </w:rPr>
              <w:t>MUNICIPIO JOCOTEPEC</w:t>
            </w:r>
          </w:p>
          <w:p w:rsidR="00301134" w:rsidRPr="00B2492A" w:rsidRDefault="00301134" w:rsidP="00301134">
            <w:pPr>
              <w:spacing w:after="0" w:line="240" w:lineRule="auto"/>
              <w:jc w:val="center"/>
              <w:rPr>
                <w:rFonts w:ascii="Arial" w:hAnsi="Arial" w:cs="Arial"/>
                <w:b/>
                <w:sz w:val="24"/>
                <w:szCs w:val="28"/>
              </w:rPr>
            </w:pPr>
            <w:r w:rsidRPr="00B2492A">
              <w:rPr>
                <w:rFonts w:ascii="Arial" w:hAnsi="Arial" w:cs="Arial"/>
                <w:b/>
                <w:sz w:val="24"/>
                <w:szCs w:val="28"/>
              </w:rPr>
              <w:t>NOTAS A LOS ESTADOS FINANCIEROS</w:t>
            </w:r>
          </w:p>
          <w:p w:rsidR="00A45E83" w:rsidRPr="005056F4" w:rsidRDefault="00301134" w:rsidP="005056F4">
            <w:pPr>
              <w:spacing w:after="0" w:line="240" w:lineRule="auto"/>
              <w:jc w:val="center"/>
              <w:rPr>
                <w:rFonts w:ascii="Arial" w:hAnsi="Arial" w:cs="Arial"/>
                <w:b/>
                <w:sz w:val="24"/>
                <w:szCs w:val="28"/>
              </w:rPr>
            </w:pPr>
            <w:r w:rsidRPr="00B2492A">
              <w:rPr>
                <w:rFonts w:ascii="Arial" w:hAnsi="Arial" w:cs="Arial"/>
                <w:b/>
                <w:sz w:val="24"/>
                <w:szCs w:val="28"/>
              </w:rPr>
              <w:t>DE DESGLOSE</w:t>
            </w:r>
          </w:p>
          <w:p w:rsidR="00A45E83" w:rsidRPr="002403D3" w:rsidRDefault="000400FF" w:rsidP="00A45E83">
            <w:pPr>
              <w:spacing w:after="0" w:line="240" w:lineRule="auto"/>
              <w:jc w:val="center"/>
              <w:rPr>
                <w:rFonts w:ascii="Arial" w:hAnsi="Arial" w:cs="Arial"/>
                <w:b/>
                <w:sz w:val="24"/>
                <w:szCs w:val="24"/>
              </w:rPr>
            </w:pPr>
            <w:bookmarkStart w:id="2" w:name="periodo"/>
            <w:bookmarkEnd w:id="2"/>
            <w:r>
              <w:rPr>
                <w:rFonts w:ascii="Arial" w:hAnsi="Arial" w:cs="Arial"/>
                <w:b/>
                <w:sz w:val="24"/>
                <w:szCs w:val="24"/>
              </w:rPr>
              <w:t>DEL 1 DE ENERO AL 31 DE DICIEMBRE DE 2021</w:t>
            </w:r>
          </w:p>
        </w:tc>
      </w:tr>
    </w:tbl>
    <w:p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rsidTr="00A45E83">
        <w:tc>
          <w:tcPr>
            <w:tcW w:w="8978" w:type="dxa"/>
          </w:tcPr>
          <w:p w:rsidR="000400FF" w:rsidRDefault="000400FF" w:rsidP="000400FF">
            <w:pPr>
              <w:autoSpaceDE w:val="0"/>
              <w:autoSpaceDN w:val="0"/>
              <w:adjustRightInd w:val="0"/>
              <w:spacing w:after="0" w:line="240" w:lineRule="auto"/>
              <w:rPr>
                <w:rFonts w:ascii="Century Gothic" w:hAnsi="Century Gothic" w:cs="Century Gothic"/>
                <w:b/>
                <w:bCs/>
                <w:i/>
                <w:iCs/>
                <w:color w:val="000000"/>
                <w:sz w:val="24"/>
                <w:szCs w:val="24"/>
                <w:lang w:eastAsia="es-MX"/>
              </w:rPr>
            </w:pPr>
            <w:bookmarkStart w:id="3" w:name="cuerpo"/>
            <w:bookmarkEnd w:id="3"/>
            <w:r>
              <w:rPr>
                <w:rFonts w:ascii="Century Gothic" w:hAnsi="Century Gothic" w:cs="Century Gothic"/>
                <w:b/>
                <w:bCs/>
                <w:i/>
                <w:iCs/>
                <w:color w:val="000000"/>
                <w:sz w:val="24"/>
                <w:szCs w:val="24"/>
                <w:lang w:eastAsia="es-MX"/>
              </w:rPr>
              <w:t xml:space="preserve">Activo Circulante  </w:t>
            </w:r>
          </w:p>
          <w:p w:rsidR="000400FF" w:rsidRDefault="000400FF" w:rsidP="000400FF">
            <w:pPr>
              <w:autoSpaceDE w:val="0"/>
              <w:autoSpaceDN w:val="0"/>
              <w:adjustRightInd w:val="0"/>
              <w:spacing w:after="0" w:line="240" w:lineRule="auto"/>
              <w:rPr>
                <w:rFonts w:ascii="Century Gothic" w:hAnsi="Century Gothic" w:cs="Century Gothic"/>
                <w:b/>
                <w:bCs/>
                <w:i/>
                <w:iCs/>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b/>
                <w:bCs/>
                <w:color w:val="000000"/>
                <w:sz w:val="24"/>
                <w:szCs w:val="24"/>
                <w:lang w:eastAsia="es-MX"/>
              </w:rPr>
              <w:t xml:space="preserve">Efectivo y Equivalentes $10,224,796.40  </w:t>
            </w:r>
            <w:r>
              <w:rPr>
                <w:rFonts w:ascii="Century Gothic" w:hAnsi="Century Gothic" w:cs="Century Gothic"/>
                <w:color w:val="000000"/>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BANCOS/TESORERÍA $10’211,660.47. El saldo de bancos contable está conciliado con los estados de cuenta de las instituciones bancarias.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color w:val="000000"/>
                <w:sz w:val="24"/>
                <w:szCs w:val="24"/>
                <w:lang w:eastAsia="es-MX"/>
              </w:rPr>
            </w:pPr>
            <w:r>
              <w:rPr>
                <w:rFonts w:ascii="Century Gothic" w:hAnsi="Century Gothic" w:cs="Century Gothic"/>
                <w:b/>
                <w:bCs/>
                <w:color w:val="000000"/>
                <w:sz w:val="24"/>
                <w:szCs w:val="24"/>
                <w:lang w:eastAsia="es-MX"/>
              </w:rPr>
              <w:t xml:space="preserve">Derechos a Recibir Efectivo o Equivalentes $ 481,905.77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DEUDORES DIVERSOS POR COBRAR A CORTO PLAZO $ 30,001.18  Su saldo está integrado por los gastos por comprobar la cual se encuentra en conciliación con la documentación física.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DEUDORES POR ANTICIPOS DE LA TESORERÍA A CORTO PLAZO $ 30,001.18 Se registran los fondos revolventes, debidamente conciliados con documentación física.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PRÉSTAMOS OTORGADOS A CORTO PLAZO $11,044.00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Préstamos que se descuentan por nómina.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OTROS DERECHOS A RECIBIR EFECTIVO O EQUIVALENTES A CORTO PLAZO $5,497.00  En esta cuenta se registra el subsidio de las nóminas.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color w:val="000000"/>
                <w:sz w:val="24"/>
                <w:szCs w:val="24"/>
                <w:lang w:eastAsia="es-MX"/>
              </w:rPr>
            </w:pPr>
            <w:r>
              <w:rPr>
                <w:rFonts w:ascii="Century Gothic" w:hAnsi="Century Gothic" w:cs="Century Gothic"/>
                <w:b/>
                <w:bCs/>
                <w:color w:val="000000"/>
                <w:sz w:val="24"/>
                <w:szCs w:val="24"/>
                <w:lang w:eastAsia="es-MX"/>
              </w:rPr>
              <w:t xml:space="preserve">Anticipo a proveedores por adquisición de bienes y prestación de servicios a corto plazo $374,100.54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Registro de anticipos a proveedores que se cancelan cuando se recibe el bien o el servicio.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b/>
                <w:bCs/>
                <w:i/>
                <w:iCs/>
                <w:color w:val="000000"/>
                <w:sz w:val="24"/>
                <w:szCs w:val="24"/>
                <w:lang w:eastAsia="es-MX"/>
              </w:rPr>
              <w:t xml:space="preserve">Activo No Circulante    </w:t>
            </w:r>
            <w:r>
              <w:rPr>
                <w:rFonts w:ascii="Century Gothic" w:hAnsi="Century Gothic" w:cs="Century Gothic"/>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b/>
                <w:bCs/>
                <w:color w:val="000000"/>
                <w:sz w:val="24"/>
                <w:szCs w:val="24"/>
                <w:lang w:eastAsia="es-MX"/>
              </w:rPr>
              <w:t>Bienes Inmuebles, Infraestructura y Construcciones en Proceso $249’397,965.33</w:t>
            </w:r>
            <w:r>
              <w:rPr>
                <w:rFonts w:ascii="Century Gothic" w:hAnsi="Century Gothic" w:cs="Century Gothic"/>
                <w:color w:val="000000"/>
                <w:sz w:val="24"/>
                <w:szCs w:val="24"/>
                <w:lang w:eastAsia="es-MX"/>
              </w:rPr>
              <w:t xml:space="preserve"> Registro de las obras ya capitalizadas y obras en proceso del ejercicio.</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b/>
                <w:bCs/>
                <w:color w:val="000000"/>
                <w:sz w:val="24"/>
                <w:szCs w:val="24"/>
                <w:lang w:eastAsia="es-MX"/>
              </w:rPr>
              <w:t>Bienes Muebles $20’495,483.94</w:t>
            </w:r>
            <w:r>
              <w:rPr>
                <w:rFonts w:ascii="Century Gothic" w:hAnsi="Century Gothic" w:cs="Century Gothic"/>
                <w:color w:val="000000"/>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Durante el ejercicio se registraron movimientos por $ 792,014.33 por la adquisición de equipo de cómputo, un camión de bomberos, bombas </w:t>
            </w:r>
            <w:r>
              <w:rPr>
                <w:rFonts w:ascii="Century Gothic" w:hAnsi="Century Gothic" w:cs="Century Gothic"/>
                <w:color w:val="000000"/>
                <w:sz w:val="24"/>
                <w:szCs w:val="24"/>
                <w:lang w:eastAsia="es-MX"/>
              </w:rPr>
              <w:lastRenderedPageBreak/>
              <w:t xml:space="preserve">sumergibles para pozo de agua potable, un transformador para pozo y herramientas varias.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b/>
                <w:bCs/>
                <w:color w:val="000000"/>
                <w:sz w:val="24"/>
                <w:szCs w:val="24"/>
                <w:lang w:eastAsia="es-MX"/>
              </w:rPr>
              <w:t>Activos Intangibles $ 948,773.76</w:t>
            </w:r>
            <w:r>
              <w:rPr>
                <w:rFonts w:ascii="Century Gothic" w:hAnsi="Century Gothic" w:cs="Century Gothic"/>
                <w:color w:val="000000"/>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b/>
                <w:bCs/>
                <w:color w:val="000000"/>
                <w:sz w:val="24"/>
                <w:szCs w:val="24"/>
                <w:lang w:eastAsia="es-MX"/>
              </w:rPr>
            </w:pPr>
            <w:r>
              <w:rPr>
                <w:rFonts w:ascii="Century Gothic" w:hAnsi="Century Gothic" w:cs="Century Gothic"/>
                <w:color w:val="000000"/>
                <w:sz w:val="24"/>
                <w:szCs w:val="24"/>
                <w:lang w:eastAsia="es-MX"/>
              </w:rPr>
              <w:t>El saldo representa la adquisición del sistema de contabilidad Korima y el pago de licencia anual con sus correspondientes actualizaciones, el contrato firmado con la empresa se renueva cada año.</w:t>
            </w:r>
            <w:r>
              <w:rPr>
                <w:rFonts w:ascii="Century Gothic" w:hAnsi="Century Gothic" w:cs="Century Gothic"/>
                <w:b/>
                <w:bCs/>
                <w:color w:val="000000"/>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b/>
                <w:bCs/>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i/>
                <w:iCs/>
                <w:color w:val="000000"/>
                <w:sz w:val="24"/>
                <w:szCs w:val="24"/>
                <w:lang w:eastAsia="es-MX"/>
              </w:rPr>
            </w:pPr>
            <w:r>
              <w:rPr>
                <w:rFonts w:ascii="Century Gothic" w:hAnsi="Century Gothic" w:cs="Century Gothic"/>
                <w:b/>
                <w:bCs/>
                <w:i/>
                <w:iCs/>
                <w:color w:val="000000"/>
                <w:sz w:val="24"/>
                <w:szCs w:val="24"/>
                <w:lang w:eastAsia="es-MX"/>
              </w:rPr>
              <w:t>Pasivo Circulante</w:t>
            </w:r>
          </w:p>
          <w:p w:rsidR="000400FF" w:rsidRDefault="000400FF" w:rsidP="000400FF">
            <w:pPr>
              <w:autoSpaceDE w:val="0"/>
              <w:autoSpaceDN w:val="0"/>
              <w:adjustRightInd w:val="0"/>
              <w:spacing w:after="0" w:line="240" w:lineRule="auto"/>
              <w:rPr>
                <w:rFonts w:ascii="Century Gothic" w:hAnsi="Century Gothic" w:cs="Century Gothic"/>
                <w:b/>
                <w:bCs/>
                <w:i/>
                <w:iCs/>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b/>
                <w:bCs/>
                <w:color w:val="000000"/>
                <w:sz w:val="24"/>
                <w:szCs w:val="24"/>
                <w:lang w:eastAsia="es-MX"/>
              </w:rPr>
              <w:t xml:space="preserve">Cuentas por Pagar a Corto Plazo $13’131440.09    </w:t>
            </w:r>
            <w:r>
              <w:rPr>
                <w:rFonts w:ascii="Century Gothic" w:hAnsi="Century Gothic" w:cs="Century Gothic"/>
                <w:color w:val="000000"/>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SERVICIOS PERSONALES POR PAGAR A CORTO PLAZO $ 215,071.88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El saldo se liquida en enero 2022.       </w:t>
            </w: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color w:val="000000"/>
                <w:sz w:val="24"/>
                <w:szCs w:val="24"/>
                <w:lang w:eastAsia="es-MX"/>
              </w:rPr>
            </w:pPr>
            <w:r>
              <w:rPr>
                <w:rFonts w:ascii="Century Gothic" w:hAnsi="Century Gothic" w:cs="Century Gothic"/>
                <w:color w:val="000000"/>
                <w:sz w:val="24"/>
                <w:szCs w:val="24"/>
                <w:lang w:eastAsia="es-MX"/>
              </w:rPr>
              <w:t xml:space="preserve">PROVEEDORES POR PAGAR A CORTO PLAZO $ 574,884.82 </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color w:val="000000"/>
                <w:sz w:val="24"/>
                <w:szCs w:val="24"/>
                <w:lang w:eastAsia="es-MX"/>
              </w:rPr>
              <w:t xml:space="preserve">El saldo reflejado en esta cuenta de proveedores esta conciliado con los pagos hechos en enero 2022.  </w:t>
            </w:r>
            <w:r>
              <w:rPr>
                <w:rFonts w:ascii="Century Gothic" w:hAnsi="Century Gothic" w:cs="Century Gothic"/>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 xml:space="preserve">CONTRATISTAS POR OBRAS PUBLICAS POR PAGAR A CORTO PLAZO $10´810,196. </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El saldo se liquida en Enero 2022 o en su caso hasta que el contratista termine la obra, ya que algunas obras iniciaron en Diciembre 2021 así mismo quedaron 5’000,000 por pagar a contratistas por Programa de Empedrados para la Reactivación Económica en Municipio de Ejercicio 2021 con recurso Etiquetado Estatal Sader y $ 2’885,860.76 con Cta Cte del mimos programa, debido a las reglas de operación de estos programas la obra tiene que quedar provisionada ya que es con recurso etiquetado correspondiente al Ejercicio 2021, no se liquida en el mismo ejercicio, debido a que el recurso llegó a finales de Diciembre 2021 y las obras aún no han sido terminadas. De la obra Rehabilitación Rastro Municipal 2da Etapa, quedaron pendientes por liquidar $1’204,655.89 debido a que el contratista aún no termina la obra.</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sz w:val="24"/>
                <w:szCs w:val="24"/>
                <w:lang w:eastAsia="es-MX"/>
              </w:rPr>
            </w:pPr>
            <w:r>
              <w:rPr>
                <w:rFonts w:ascii="Century Gothic" w:hAnsi="Century Gothic" w:cs="Century Gothic"/>
                <w:b/>
                <w:bCs/>
                <w:sz w:val="24"/>
                <w:szCs w:val="24"/>
                <w:lang w:eastAsia="es-MX"/>
              </w:rPr>
              <w:t xml:space="preserve">PASIVOS DIFERIDOS A CORTO PLAZO $5’000,000.00 </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Es por un anticipo de participaciones el cual se liquidará en 12 pagos mensuales, los cuales serán descontados de las participaciones, el recurso se aplicó para el pago de aguinaldos 2021</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sz w:val="24"/>
                <w:szCs w:val="24"/>
                <w:lang w:eastAsia="es-MX"/>
              </w:rPr>
            </w:pPr>
            <w:r>
              <w:rPr>
                <w:rFonts w:ascii="Century Gothic" w:hAnsi="Century Gothic" w:cs="Century Gothic"/>
                <w:b/>
                <w:bCs/>
                <w:sz w:val="24"/>
                <w:szCs w:val="24"/>
                <w:lang w:eastAsia="es-MX"/>
              </w:rPr>
              <w:t>OTROS PASIVOS A CORTO PLAZO $ 8,730873.83</w:t>
            </w:r>
          </w:p>
          <w:p w:rsidR="000400FF" w:rsidRDefault="000400FF" w:rsidP="000400FF">
            <w:pPr>
              <w:autoSpaceDE w:val="0"/>
              <w:autoSpaceDN w:val="0"/>
              <w:adjustRightInd w:val="0"/>
              <w:spacing w:after="0" w:line="240" w:lineRule="auto"/>
              <w:rPr>
                <w:rFonts w:ascii="Century Gothic" w:hAnsi="Century Gothic" w:cs="Century Gothic"/>
                <w:b/>
                <w:bCs/>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INGRESOS POR CLASIFICAR $ 4’730873.83</w:t>
            </w:r>
          </w:p>
          <w:p w:rsidR="000400FF" w:rsidRDefault="000400FF" w:rsidP="000400FF">
            <w:pPr>
              <w:autoSpaceDE w:val="0"/>
              <w:autoSpaceDN w:val="0"/>
              <w:adjustRightInd w:val="0"/>
              <w:spacing w:after="0" w:line="240" w:lineRule="auto"/>
              <w:rPr>
                <w:rFonts w:ascii="Century Gothic" w:hAnsi="Century Gothic" w:cs="Century Gothic"/>
                <w:b/>
                <w:bCs/>
                <w:sz w:val="24"/>
                <w:szCs w:val="24"/>
                <w:lang w:eastAsia="es-MX"/>
              </w:rPr>
            </w:pPr>
            <w:r>
              <w:rPr>
                <w:rFonts w:ascii="Century Gothic" w:hAnsi="Century Gothic" w:cs="Century Gothic"/>
                <w:sz w:val="24"/>
                <w:szCs w:val="24"/>
                <w:lang w:eastAsia="es-MX"/>
              </w:rPr>
              <w:lastRenderedPageBreak/>
              <w:t>Son Anticipos por venta de terreno mediante publicación de subasta de bien inmueble de dominio privado, el cual no contamos con la documentación necesaria para su registro contable y $1’679,675.00 correspondiente al pago final de Grupo Desarrollador Montaña del Lago pendiente de registrar por falta de documentación por parte de Desarrollo Urbano.</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OTROS PASIVOS CIRCULANTES $4’000,000.00</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Por adquisición de Terreno con valor de 11 millones cta predial R004977 ubicado en el Chante con superficie de 6018 m2, para infraestructura deportiva, el método de pago fue la entrega de propiedad con valor de 7 millones y 4 millones en efectivo, mismos que quedaron pendientes de liquidar en ejercicio 2021 a Rene Sainz Arambula.</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i/>
                <w:iCs/>
                <w:color w:val="000000"/>
                <w:sz w:val="24"/>
                <w:szCs w:val="24"/>
                <w:lang w:eastAsia="es-MX"/>
              </w:rPr>
            </w:pPr>
            <w:r>
              <w:rPr>
                <w:rFonts w:ascii="Century Gothic" w:hAnsi="Century Gothic" w:cs="Century Gothic"/>
                <w:b/>
                <w:bCs/>
                <w:i/>
                <w:iCs/>
                <w:color w:val="000000"/>
                <w:sz w:val="24"/>
                <w:szCs w:val="24"/>
                <w:lang w:eastAsia="es-MX"/>
              </w:rPr>
              <w:t>Pasivo No Circulante</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b/>
                <w:bCs/>
                <w:sz w:val="24"/>
                <w:szCs w:val="24"/>
                <w:lang w:eastAsia="es-MX"/>
              </w:rPr>
            </w:pPr>
            <w:r>
              <w:rPr>
                <w:rFonts w:ascii="Century Gothic" w:hAnsi="Century Gothic" w:cs="Century Gothic"/>
                <w:b/>
                <w:bCs/>
                <w:sz w:val="24"/>
                <w:szCs w:val="24"/>
                <w:lang w:eastAsia="es-MX"/>
              </w:rPr>
              <w:t xml:space="preserve">Proveedores por pagar a largo plazo   </w:t>
            </w:r>
            <w:r>
              <w:rPr>
                <w:rFonts w:ascii="Century Gothic" w:hAnsi="Century Gothic" w:cs="Century Gothic"/>
                <w:b/>
                <w:bCs/>
                <w:color w:val="000000"/>
                <w:sz w:val="24"/>
                <w:szCs w:val="24"/>
                <w:lang w:eastAsia="es-MX"/>
              </w:rPr>
              <w:t xml:space="preserve">$ 11’829,596.10  </w:t>
            </w:r>
            <w:r>
              <w:rPr>
                <w:rFonts w:ascii="Century Gothic" w:hAnsi="Century Gothic" w:cs="Century Gothic"/>
                <w:b/>
                <w:bCs/>
                <w:sz w:val="24"/>
                <w:szCs w:val="24"/>
                <w:lang w:eastAsia="es-MX"/>
              </w:rPr>
              <w:t xml:space="preserve">     </w:t>
            </w: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p>
          <w:p w:rsidR="000400FF" w:rsidRDefault="000400FF" w:rsidP="000400FF">
            <w:pPr>
              <w:autoSpaceDE w:val="0"/>
              <w:autoSpaceDN w:val="0"/>
              <w:adjustRightInd w:val="0"/>
              <w:spacing w:after="0" w:line="240" w:lineRule="auto"/>
              <w:rPr>
                <w:rFonts w:ascii="Century Gothic" w:hAnsi="Century Gothic" w:cs="Century Gothic"/>
                <w:sz w:val="24"/>
                <w:szCs w:val="24"/>
                <w:lang w:eastAsia="es-MX"/>
              </w:rPr>
            </w:pPr>
            <w:r>
              <w:rPr>
                <w:rFonts w:ascii="Century Gothic" w:hAnsi="Century Gothic" w:cs="Century Gothic"/>
                <w:sz w:val="24"/>
                <w:szCs w:val="24"/>
                <w:lang w:eastAsia="es-MX"/>
              </w:rPr>
              <w:t>Los saldos de esta cuenta están integrados por proveedores con un plazo mayor de 12 meses para liquidar y saldos de administraciones pasadas.</w:t>
            </w:r>
          </w:p>
          <w:p w:rsidR="000400FF" w:rsidRDefault="000400FF" w:rsidP="000400FF">
            <w:pPr>
              <w:autoSpaceDE w:val="0"/>
              <w:autoSpaceDN w:val="0"/>
              <w:adjustRightInd w:val="0"/>
              <w:spacing w:after="0" w:line="240" w:lineRule="auto"/>
              <w:rPr>
                <w:rFonts w:ascii="Arial" w:hAnsi="Arial" w:cs="Arial"/>
                <w:sz w:val="23"/>
                <w:szCs w:val="23"/>
                <w:lang w:eastAsia="es-MX"/>
              </w:rPr>
            </w:pPr>
          </w:p>
          <w:p w:rsidR="00A45E83" w:rsidRPr="007326BD" w:rsidRDefault="00A45E83" w:rsidP="00A45E83">
            <w:pPr>
              <w:spacing w:after="0" w:line="240" w:lineRule="auto"/>
              <w:jc w:val="both"/>
              <w:rPr>
                <w:rFonts w:ascii="Arial" w:hAnsi="Arial" w:cs="Arial"/>
                <w:sz w:val="24"/>
                <w:szCs w:val="24"/>
              </w:rPr>
            </w:pPr>
          </w:p>
        </w:tc>
      </w:tr>
    </w:tbl>
    <w:p w:rsidR="00A45E83" w:rsidRDefault="00A45E83">
      <w:pPr>
        <w:rPr>
          <w:rFonts w:ascii="Arial" w:hAnsi="Arial" w:cs="Arial"/>
        </w:rPr>
      </w:pPr>
    </w:p>
    <w:p w:rsidR="00B157EC" w:rsidRDefault="00B157EC">
      <w:pPr>
        <w:rPr>
          <w:rFonts w:ascii="Arial" w:hAnsi="Arial" w:cs="Arial"/>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7"/>
        <w:gridCol w:w="1242"/>
        <w:gridCol w:w="3849"/>
      </w:tblGrid>
      <w:tr w:rsidR="00425DF0" w:rsidRPr="00EB7BF7" w:rsidTr="00FC59DA">
        <w:trPr>
          <w:jc w:val="center"/>
        </w:trPr>
        <w:tc>
          <w:tcPr>
            <w:tcW w:w="3794" w:type="dxa"/>
            <w:shd w:val="clear" w:color="auto" w:fill="auto"/>
          </w:tcPr>
          <w:p w:rsidR="00FC59DA" w:rsidRPr="00EB7BF7" w:rsidRDefault="007E4F17" w:rsidP="00FC59DA">
            <w:pPr>
              <w:tabs>
                <w:tab w:val="center" w:pos="1789"/>
              </w:tabs>
              <w:rPr>
                <w:rFonts w:ascii="Arial" w:hAnsi="Arial" w:cs="Arial"/>
                <w:b/>
                <w:sz w:val="20"/>
              </w:rPr>
            </w:pPr>
            <w:r w:rsidRPr="00EB7BF7">
              <w:rPr>
                <w:rFonts w:ascii="Arial" w:hAnsi="Arial" w:cs="Arial"/>
                <w:b/>
                <w:noProof/>
                <w:lang w:eastAsia="es-MX"/>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259715</wp:posOffset>
                      </wp:positionV>
                      <wp:extent cx="2295525" cy="0"/>
                      <wp:effectExtent l="5080" t="13335" r="1397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494AF4A" id="_x0000_t32" coordsize="21600,21600" o:spt="32" o:oned="t" path="m,l21600,21600e" filled="f">
                      <v:path arrowok="t" fillok="f" o:connecttype="none"/>
                      <o:lock v:ext="edit" shapetype="t"/>
                    </v:shapetype>
                    <v:shape id="AutoShape 2"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A9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NEB8D0bAgAAOwQAAA4AAAAAAAAAAAAAAAAALgIAAGRycy9lMm9Eb2MueG1sUEsBAi0A&#10;FAAGAAgAAAAhANSWC17eAAAACAEAAA8AAAAAAAAAAAAAAAAAdQQAAGRycy9kb3ducmV2LnhtbFBL&#10;BQYAAAAABAAEAPMAAACABQAAAAA=&#10;"/>
                  </w:pict>
                </mc:Fallback>
              </mc:AlternateContent>
            </w:r>
            <w:r w:rsidR="00FC59DA">
              <w:rPr>
                <w:rFonts w:ascii="Arial" w:hAnsi="Arial" w:cs="Arial"/>
                <w:b/>
                <w:sz w:val="20"/>
              </w:rPr>
              <w:tab/>
            </w:r>
          </w:p>
        </w:tc>
        <w:tc>
          <w:tcPr>
            <w:tcW w:w="1276" w:type="dxa"/>
            <w:shd w:val="clear" w:color="auto" w:fill="auto"/>
          </w:tcPr>
          <w:p w:rsidR="00425DF0" w:rsidRPr="00EB7BF7" w:rsidRDefault="00425DF0" w:rsidP="00B157EC">
            <w:pPr>
              <w:rPr>
                <w:rFonts w:ascii="Arial" w:hAnsi="Arial" w:cs="Arial"/>
                <w:b/>
                <w:sz w:val="20"/>
              </w:rPr>
            </w:pPr>
          </w:p>
        </w:tc>
        <w:tc>
          <w:tcPr>
            <w:tcW w:w="3908" w:type="dxa"/>
            <w:shd w:val="clear" w:color="auto" w:fill="auto"/>
          </w:tcPr>
          <w:p w:rsidR="00425DF0" w:rsidRPr="00EB7BF7" w:rsidRDefault="007E4F17" w:rsidP="005B33F8">
            <w:pPr>
              <w:tabs>
                <w:tab w:val="center" w:pos="1846"/>
              </w:tabs>
              <w:rPr>
                <w:rFonts w:ascii="Arial" w:hAnsi="Arial" w:cs="Arial"/>
                <w:b/>
                <w:sz w:val="20"/>
              </w:rPr>
            </w:pPr>
            <w:r w:rsidRPr="00EB7BF7">
              <w:rPr>
                <w:rFonts w:ascii="Arial" w:hAnsi="Arial" w:cs="Arial"/>
                <w:b/>
                <w:noProof/>
                <w:lang w:eastAsia="es-MX"/>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259715</wp:posOffset>
                      </wp:positionV>
                      <wp:extent cx="2295525" cy="0"/>
                      <wp:effectExtent l="5080" t="13335" r="1397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17E6B7" id="AutoShape 3"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B6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c+X83k+x4iOvoQUY6Kxzn/mukfBKLHzloi285VWCoTXNotlyPHJ&#10;+UCLFGNCqKr0VkgZ9ZcKDSVehjrB47QULDjjxbb7Slp0JGGD4i/2+C7M6oNiEazjhG2utidCXmwo&#10;LlXAg8aAztW6rMjPZbrcLDaL2WSW328ms7SuJ4/baja532af5vVdXVV19itQy2ZFJxjjKrAb1zWb&#10;/d06XB/OZdFuC3sbQ/IWPc4LyI7/kXRUNoh5WYu9ZuedHRWHDY3B19cUnsDrO9iv3/z6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nmLwehwCAAA7BAAADgAAAAAAAAAAAAAAAAAuAgAAZHJzL2Uyb0RvYy54bWxQSwECLQAU&#10;AAYACAAAACEArxXqGdwAAAAHAQAADwAAAAAAAAAAAAAAAAB2BAAAZHJzL2Rvd25yZXYueG1sUEsF&#10;BgAAAAAEAAQA8wAAAH8FAAAAAA==&#10;"/>
                  </w:pict>
                </mc:Fallback>
              </mc:AlternateContent>
            </w:r>
            <w:r w:rsidR="005B33F8">
              <w:rPr>
                <w:rFonts w:ascii="Arial" w:hAnsi="Arial" w:cs="Arial"/>
                <w:b/>
                <w:sz w:val="20"/>
              </w:rPr>
              <w:tab/>
            </w:r>
          </w:p>
        </w:tc>
      </w:tr>
      <w:tr w:rsidR="00425DF0" w:rsidRPr="00EB7BF7" w:rsidTr="00FC59DA">
        <w:trPr>
          <w:jc w:val="center"/>
        </w:trPr>
        <w:tc>
          <w:tcPr>
            <w:tcW w:w="3794" w:type="dxa"/>
            <w:shd w:val="clear" w:color="auto" w:fill="auto"/>
          </w:tcPr>
          <w:p w:rsidR="00425DF0" w:rsidRPr="00EB7BF7" w:rsidRDefault="000400FF" w:rsidP="004073AF">
            <w:pPr>
              <w:jc w:val="center"/>
              <w:rPr>
                <w:rFonts w:ascii="Arial" w:hAnsi="Arial" w:cs="Arial"/>
                <w:b/>
                <w:sz w:val="20"/>
              </w:rPr>
            </w:pPr>
            <w:bookmarkStart w:id="4" w:name="firma1"/>
            <w:bookmarkEnd w:id="4"/>
            <w:r>
              <w:rPr>
                <w:rFonts w:ascii="Arial" w:hAnsi="Arial" w:cs="Arial"/>
                <w:b/>
                <w:sz w:val="20"/>
              </w:rPr>
              <w:t>LIC. JOSÉ MIGUEL GÓMEZ LÓPEZ</w:t>
            </w:r>
          </w:p>
          <w:p w:rsidR="00425DF0" w:rsidRPr="00EB7BF7" w:rsidRDefault="000400FF" w:rsidP="00F13D94">
            <w:pPr>
              <w:jc w:val="center"/>
              <w:rPr>
                <w:rFonts w:ascii="Arial" w:hAnsi="Arial" w:cs="Arial"/>
                <w:b/>
                <w:sz w:val="20"/>
              </w:rPr>
            </w:pPr>
            <w:bookmarkStart w:id="5" w:name="Cargo1"/>
            <w:bookmarkEnd w:id="5"/>
            <w:r>
              <w:rPr>
                <w:rFonts w:ascii="Arial" w:hAnsi="Arial" w:cs="Arial"/>
                <w:b/>
                <w:sz w:val="20"/>
              </w:rPr>
              <w:t>PRESIDENTE MUNICIPAL</w:t>
            </w:r>
          </w:p>
        </w:tc>
        <w:tc>
          <w:tcPr>
            <w:tcW w:w="1276" w:type="dxa"/>
            <w:shd w:val="clear" w:color="auto" w:fill="auto"/>
          </w:tcPr>
          <w:p w:rsidR="00425DF0" w:rsidRPr="00EB7BF7" w:rsidRDefault="00425DF0" w:rsidP="00B157EC">
            <w:pPr>
              <w:rPr>
                <w:rFonts w:ascii="Arial" w:hAnsi="Arial" w:cs="Arial"/>
                <w:b/>
                <w:sz w:val="20"/>
              </w:rPr>
            </w:pPr>
          </w:p>
        </w:tc>
        <w:tc>
          <w:tcPr>
            <w:tcW w:w="3908" w:type="dxa"/>
            <w:shd w:val="clear" w:color="auto" w:fill="auto"/>
          </w:tcPr>
          <w:p w:rsidR="00425DF0" w:rsidRPr="00EB7BF7" w:rsidRDefault="000400FF" w:rsidP="00BA7910">
            <w:pPr>
              <w:jc w:val="center"/>
              <w:rPr>
                <w:rFonts w:ascii="Arial" w:hAnsi="Arial" w:cs="Arial"/>
                <w:b/>
                <w:sz w:val="20"/>
              </w:rPr>
            </w:pPr>
            <w:bookmarkStart w:id="6" w:name="firma2"/>
            <w:bookmarkEnd w:id="6"/>
            <w:r>
              <w:rPr>
                <w:rFonts w:ascii="Arial" w:hAnsi="Arial" w:cs="Arial"/>
                <w:b/>
                <w:sz w:val="20"/>
              </w:rPr>
              <w:t>LIC. BERTHA MARCELA GONGORA JIMENEZ</w:t>
            </w:r>
          </w:p>
          <w:p w:rsidR="001F0913" w:rsidRPr="00EB7BF7" w:rsidRDefault="000400FF" w:rsidP="00054D51">
            <w:pPr>
              <w:jc w:val="center"/>
              <w:rPr>
                <w:rFonts w:ascii="Arial" w:hAnsi="Arial" w:cs="Arial"/>
                <w:b/>
                <w:sz w:val="20"/>
              </w:rPr>
            </w:pPr>
            <w:bookmarkStart w:id="7" w:name="Cargo2"/>
            <w:bookmarkEnd w:id="7"/>
            <w:r>
              <w:rPr>
                <w:rFonts w:ascii="Arial" w:hAnsi="Arial" w:cs="Arial"/>
                <w:b/>
                <w:sz w:val="20"/>
              </w:rPr>
              <w:t>ENCARGADA DE LA HACIENDA MUNICIPAL</w:t>
            </w:r>
          </w:p>
        </w:tc>
      </w:tr>
    </w:tbl>
    <w:p w:rsidR="00536F66" w:rsidRDefault="00536F66" w:rsidP="00B157EC">
      <w:pPr>
        <w:rPr>
          <w:rFonts w:ascii="Arial" w:hAnsi="Arial" w:cs="Arial"/>
          <w:sz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828"/>
      </w:tblGrid>
      <w:tr w:rsidR="00721735" w:rsidRPr="00721735" w:rsidTr="003F7AB9">
        <w:tc>
          <w:tcPr>
            <w:tcW w:w="8978" w:type="dxa"/>
            <w:shd w:val="clear" w:color="auto" w:fill="auto"/>
          </w:tcPr>
          <w:p w:rsidR="00721735" w:rsidRPr="00721735" w:rsidRDefault="000400FF" w:rsidP="00523D61">
            <w:pPr>
              <w:jc w:val="center"/>
              <w:rPr>
                <w:rFonts w:ascii="C39HrP24DhTt" w:hAnsi="C39HrP24DhTt" w:cs="Arial"/>
                <w:sz w:val="44"/>
                <w:szCs w:val="44"/>
              </w:rPr>
            </w:pPr>
            <w:bookmarkStart w:id="8" w:name="codigo"/>
            <w:bookmarkEnd w:id="8"/>
            <w:r>
              <w:rPr>
                <w:rFonts w:ascii="C39HrP24DhTt" w:hAnsi="C39HrP24DhTt" w:cs="Arial"/>
                <w:sz w:val="44"/>
                <w:szCs w:val="44"/>
              </w:rPr>
              <w:t>ASEJ2021-13-16-02-2022-1</w:t>
            </w:r>
          </w:p>
        </w:tc>
      </w:tr>
    </w:tbl>
    <w:p w:rsidR="00425DF0" w:rsidRDefault="00425DF0" w:rsidP="00B157EC">
      <w:pPr>
        <w:rPr>
          <w:rFonts w:ascii="Arial" w:hAnsi="Arial" w:cs="Arial"/>
          <w:sz w:val="20"/>
        </w:rPr>
      </w:pPr>
    </w:p>
    <w:p w:rsidR="00B157EC" w:rsidRPr="00B157EC" w:rsidRDefault="00B157EC" w:rsidP="00B157EC">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correctos y responsabilidad del emisor.</w:t>
      </w:r>
    </w:p>
    <w:p w:rsidR="00B157EC" w:rsidRDefault="00B157EC">
      <w:pPr>
        <w:rPr>
          <w:rFonts w:ascii="Arial" w:hAnsi="Arial" w:cs="Arial"/>
        </w:rPr>
      </w:pPr>
    </w:p>
    <w:p w:rsidR="00B157EC" w:rsidRPr="007326BD" w:rsidRDefault="00B157EC">
      <w:pPr>
        <w:rPr>
          <w:rFonts w:ascii="Arial" w:hAnsi="Arial" w:cs="Arial"/>
        </w:rPr>
      </w:pPr>
    </w:p>
    <w:sectPr w:rsidR="00B157EC"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39HrP24DhT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83"/>
    <w:rsid w:val="000400FF"/>
    <w:rsid w:val="00054D51"/>
    <w:rsid w:val="001213FD"/>
    <w:rsid w:val="00150A8F"/>
    <w:rsid w:val="001F0913"/>
    <w:rsid w:val="001F5C2A"/>
    <w:rsid w:val="002403D3"/>
    <w:rsid w:val="002E6C50"/>
    <w:rsid w:val="00301134"/>
    <w:rsid w:val="003F7AB9"/>
    <w:rsid w:val="0040191D"/>
    <w:rsid w:val="004073AF"/>
    <w:rsid w:val="00425DF0"/>
    <w:rsid w:val="005056F4"/>
    <w:rsid w:val="00523D61"/>
    <w:rsid w:val="00536F66"/>
    <w:rsid w:val="005B33F8"/>
    <w:rsid w:val="00721735"/>
    <w:rsid w:val="007326BD"/>
    <w:rsid w:val="007E4F17"/>
    <w:rsid w:val="00806603"/>
    <w:rsid w:val="00A45E83"/>
    <w:rsid w:val="00B157EC"/>
    <w:rsid w:val="00B35761"/>
    <w:rsid w:val="00BA7910"/>
    <w:rsid w:val="00CD584F"/>
    <w:rsid w:val="00D2796E"/>
    <w:rsid w:val="00D64D9B"/>
    <w:rsid w:val="00EB7BF7"/>
    <w:rsid w:val="00F13D94"/>
    <w:rsid w:val="00FA2397"/>
    <w:rsid w:val="00FC5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D4581-815E-4C02-8BF3-9718178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EGRESOS PC</cp:lastModifiedBy>
  <cp:revision>6</cp:revision>
  <dcterms:created xsi:type="dcterms:W3CDTF">2020-05-27T16:02:00Z</dcterms:created>
  <dcterms:modified xsi:type="dcterms:W3CDTF">2022-02-16T17:25:00Z</dcterms:modified>
</cp:coreProperties>
</file>